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【春节】东莞厚街国际大酒店 品丰富自助早晚餐美食二天行程单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ZJS1611038713om</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东莞市</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2</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汽车</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汽车</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无</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入住：东莞厚街国际大酒店
                <w:br/>
                享用：酒店丰富自助早餐/晚餐
                <w:br/>
                游玩：康体中心，净水疗1小时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广州——东莞厚街国际大酒店
                <w:br/>
                13:00在广州市海珠广场华厦大酒店门口集中，乘车前往东莞（车程约2小时），抵达后办理入住，自由活动（自由活动期间注意安全）。享用酒店自助晚餐(晚餐时间为18:00-20:00 )。晚餐后入住酒店休息。
                <w:br/>
                【厚街国际大酒店】是一家按五星级标准投资兴建的大型商务酒店，由国际享负盛名及经验丰富的设计顾问公司HBA设计，其装潢陈设巧妙地融合了东西方的文化特色。酒店位于东莞厚街商业中心之显要地段，购物、娱乐信步可至，东莞市最高的旋转餐厅将城市美景展示无遗。酒店楼高49层，建筑面积11万平方米，拥有451间集舒适与功能性于一体的豪华客房及套房，宽敞的空间、高雅的装饰，为您营造出一个最佳的憩息之所，我们致力于为您提供卓越而不奢华的服务与设施，让您充分体验高品位的商务、美食、休闲及娱乐新概念。多瑙河咖啡厅：尽显欧陆风情之旖旎 ，荟萃环球美食的精彩，零点与自助餐全天候呈现。碧涛水疗（含净水疗1小时，按摩、沐足需另外收费）；健身中心：康体及健身中心兼具健身考量与时尚风格，全功能的设备包括：各式新颖的健身器材及宛如城市绿洲的游泳池，为您忙碌的旅程舒压解劳。
                <w:br/>
                交通：空调旅游车
                <w:br/>
              </w:t>
            </w:r>
          </w:p>
        </w:tc>
        <w:tc>
          <w:tcPr/>
          <w:p>
            <w:pPr>
              <w:pStyle w:val="indent"/>
            </w:pPr>
            <w:r>
              <w:rPr>
                <w:rFonts w:ascii="宋体" w:hAnsi="宋体" w:eastAsia="宋体" w:cs="宋体"/>
                <w:color w:val="000000"/>
                <w:sz w:val="20"/>
                <w:szCs w:val="20"/>
              </w:rPr>
              <w:t xml:space="preserve">早餐：X     午餐：X     晚餐：√   </w:t>
            </w:r>
          </w:p>
        </w:tc>
        <w:tc>
          <w:tcPr/>
          <w:p>
            <w:pPr>
              <w:pStyle w:val="indent"/>
            </w:pPr>
            <w:r>
              <w:rPr>
                <w:rFonts w:ascii="宋体" w:hAnsi="宋体" w:eastAsia="宋体" w:cs="宋体"/>
                <w:color w:val="000000"/>
                <w:sz w:val="20"/>
                <w:szCs w:val="20"/>
              </w:rPr>
              <w:t xml:space="preserve">东莞厚街国际大酒店双人房/大床</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东莞—广州
                <w:br/>
                早起自行前往酒店享用自助早餐（早餐时间为：07:30-10:00）。退房后乘车返回广州，结束愉快行程！
                <w:br/>
                交通：空调旅游车
                <w:br/>
              </w:t>
            </w:r>
          </w:p>
        </w:tc>
        <w:tc>
          <w:tcPr/>
          <w:p>
            <w:pPr>
              <w:pStyle w:val="indent"/>
            </w:pPr>
            <w:r>
              <w:rPr>
                <w:rFonts w:ascii="宋体" w:hAnsi="宋体" w:eastAsia="宋体" w:cs="宋体"/>
                <w:color w:val="000000"/>
                <w:sz w:val="20"/>
                <w:szCs w:val="20"/>
              </w:rPr>
              <w:t xml:space="preserve">早餐：√     午餐：X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集合站点</w:t>
      </w:r>
    </w:p>
    <w:tbl>
      <w:tblGrid>
        <w:gridCol w:w="2500" w:type="dxa"/>
        <w:gridCol w:w="1000" w:type="dxa"/>
        <w:gridCol w:w="1500" w:type="dxa"/>
        <w:gridCol w:w="1500" w:type="dxa"/>
        <w:gridCol w:w="1000" w:type="dxa"/>
        <w:gridCol w:w="1500" w:type="dxa"/>
        <w:gridCol w:w="1500" w:type="dxa"/>
      </w:tblGrid>
      <w:tblPr>
        <w:tblStyle w:val="lineStationSiteList"/>
      </w:tblPr>
      <w:tr>
        <w:trPr/>
        <w:tc>
          <w:tcPr>
            <w:tcW w:w="2500" w:type="dxa"/>
            <w:vAlign w:val="center"/>
            <w:shd w:val="clear" w:fill="efefef"/>
          </w:tcPr>
          <w:p>
            <w:pPr>
              <w:pStyle w:val="center"/>
            </w:pPr>
            <w:r>
              <w:rPr>
                <w:rFonts w:ascii="宋体" w:hAnsi="宋体" w:eastAsia="宋体" w:cs="宋体"/>
                <w:color w:val="000000"/>
                <w:sz w:val="20"/>
                <w:szCs w:val="20"/>
                <w:b/>
                <w:bCs/>
              </w:rPr>
              <w:t xml:space="preserve">名称</w:t>
            </w:r>
          </w:p>
        </w:tc>
        <w:tc>
          <w:tcPr>
            <w:tcW w:w="1000" w:type="dxa"/>
            <w:vAlign w:val="center"/>
            <w:shd w:val="clear" w:fill="efefef"/>
          </w:tcPr>
          <w:p>
            <w:pPr>
              <w:pStyle w:val="center"/>
            </w:pPr>
            <w:r>
              <w:rPr>
                <w:rFonts w:ascii="宋体" w:hAnsi="宋体" w:eastAsia="宋体" w:cs="宋体"/>
                <w:color w:val="000000"/>
                <w:sz w:val="20"/>
                <w:szCs w:val="20"/>
                <w:b/>
                <w:bCs/>
              </w:rPr>
              <w:t xml:space="preserve">回程</w:t>
            </w:r>
          </w:p>
        </w:tc>
        <w:tc>
          <w:tcPr>
            <w:tcW w:w="1500" w:type="dxa"/>
            <w:vAlign w:val="center"/>
            <w:shd w:val="clear" w:fill="efefef"/>
          </w:tcPr>
          <w:p>
            <w:pPr>
              <w:pStyle w:val="center"/>
            </w:pPr>
            <w:r>
              <w:rPr>
                <w:rFonts w:ascii="宋体" w:hAnsi="宋体" w:eastAsia="宋体" w:cs="宋体"/>
                <w:color w:val="000000"/>
                <w:sz w:val="20"/>
                <w:szCs w:val="20"/>
                <w:b/>
                <w:bCs/>
              </w:rPr>
              <w:t xml:space="preserve">上车时间</w:t>
            </w:r>
          </w:p>
        </w:tc>
        <w:tc>
          <w:tcPr>
            <w:tcW w:w="1500" w:type="dxa"/>
            <w:vAlign w:val="center"/>
            <w:shd w:val="clear" w:fill="efefef"/>
          </w:tcPr>
          <w:p>
            <w:pPr>
              <w:pStyle w:val="center"/>
            </w:pPr>
            <w:r>
              <w:rPr>
                <w:rFonts w:ascii="宋体" w:hAnsi="宋体" w:eastAsia="宋体" w:cs="宋体"/>
                <w:color w:val="000000"/>
                <w:sz w:val="20"/>
                <w:szCs w:val="20"/>
                <w:b/>
                <w:bCs/>
              </w:rPr>
              <w:t xml:space="preserve">单价(元/人)</w:t>
            </w:r>
          </w:p>
        </w:tc>
        <w:tc>
          <w:tcPr>
            <w:tcW w:w="1000" w:type="dxa"/>
            <w:vAlign w:val="center"/>
            <w:shd w:val="clear" w:fill="efefef"/>
          </w:tcPr>
          <w:p>
            <w:pPr>
              <w:pStyle w:val="center"/>
            </w:pPr>
            <w:r>
              <w:rPr>
                <w:rFonts w:ascii="宋体" w:hAnsi="宋体" w:eastAsia="宋体" w:cs="宋体"/>
                <w:color w:val="000000"/>
                <w:sz w:val="20"/>
                <w:szCs w:val="20"/>
                <w:b/>
                <w:bCs/>
              </w:rPr>
              <w:t xml:space="preserve">回程</w:t>
            </w:r>
          </w:p>
        </w:tc>
        <w:tc>
          <w:tcPr>
            <w:tcW w:w="1500" w:type="dxa"/>
            <w:vAlign w:val="center"/>
            <w:shd w:val="clear" w:fill="efefef"/>
          </w:tcPr>
          <w:p>
            <w:pPr>
              <w:pStyle w:val="center"/>
            </w:pPr>
            <w:r>
              <w:rPr>
                <w:rFonts w:ascii="宋体" w:hAnsi="宋体" w:eastAsia="宋体" w:cs="宋体"/>
                <w:color w:val="000000"/>
                <w:sz w:val="20"/>
                <w:szCs w:val="20"/>
                <w:b/>
                <w:bCs/>
              </w:rPr>
              <w:t xml:space="preserve">上车时间</w:t>
            </w:r>
          </w:p>
        </w:tc>
        <w:tc>
          <w:tcPr>
            <w:tcW w:w="1500" w:type="dxa"/>
            <w:vAlign w:val="center"/>
            <w:shd w:val="clear" w:fill="efefef"/>
          </w:tcPr>
          <w:p>
            <w:pPr>
              <w:pStyle w:val="center"/>
            </w:pPr>
            <w:r>
              <w:rPr>
                <w:rFonts w:ascii="宋体" w:hAnsi="宋体" w:eastAsia="宋体" w:cs="宋体"/>
                <w:color w:val="000000"/>
                <w:sz w:val="20"/>
                <w:szCs w:val="20"/>
                <w:b/>
                <w:bCs/>
              </w:rPr>
              <w:t xml:space="preserve">单价(元/人)</w:t>
            </w:r>
          </w:p>
        </w:tc>
      </w:tr>
      <w:tr>
        <w:trPr/>
        <w:tc>
          <w:tcPr>
            <w:tcW w:w="2500" w:type="dxa"/>
          </w:tcPr>
          <w:p>
            <w:pPr>
              <w:pStyle w:val="center"/>
            </w:pPr>
            <w:r>
              <w:rPr>
                <w:rFonts w:ascii="宋体" w:hAnsi="宋体" w:eastAsia="宋体" w:cs="宋体"/>
                <w:color w:val="000000"/>
                <w:sz w:val="20"/>
                <w:szCs w:val="20"/>
                <w:b/>
                <w:bCs/>
              </w:rPr>
              <w:t xml:space="preserve">广州海珠广场</w:t>
            </w:r>
          </w:p>
        </w:tc>
        <w:tc>
          <w:tcPr>
            <w:tcW w:w="1000" w:type="dxa"/>
          </w:tcPr>
          <w:p>
            <w:pPr>
              <w:pStyle w:val="center"/>
            </w:pPr>
            <w:r>
              <w:rPr>
                <w:rFonts w:ascii="宋体" w:hAnsi="宋体" w:eastAsia="宋体" w:cs="宋体"/>
                <w:color w:val="000000"/>
                <w:sz w:val="20"/>
                <w:szCs w:val="20"/>
                <w:b/>
                <w:bCs/>
              </w:rPr>
              <w:t xml:space="preserve">√</w:t>
            </w:r>
          </w:p>
        </w:tc>
        <w:tc>
          <w:tcPr>
            <w:tcW w:w="1500" w:type="dxa"/>
          </w:tcPr>
          <w:p>
            <w:pPr>
              <w:pStyle w:val="center"/>
            </w:pPr>
            <w:r>
              <w:rPr>
                <w:rFonts w:ascii="宋体" w:hAnsi="宋体" w:eastAsia="宋体" w:cs="宋体"/>
                <w:color w:val="000000"/>
                <w:sz w:val="20"/>
                <w:szCs w:val="20"/>
                <w:b/>
                <w:bCs/>
              </w:rPr>
              <w:t xml:space="preserve">13:00</w:t>
            </w:r>
          </w:p>
        </w:tc>
        <w:tc>
          <w:tcPr>
            <w:tcW w:w="1500" w:type="dxa"/>
          </w:tcPr>
          <w:p>
            <w:pPr>
              <w:pStyle w:val="center"/>
            </w:pPr>
            <w:r>
              <w:rPr>
                <w:rFonts w:ascii="宋体" w:hAnsi="宋体" w:eastAsia="宋体" w:cs="宋体"/>
                <w:color w:val="000000"/>
                <w:sz w:val="20"/>
                <w:szCs w:val="20"/>
                <w:b/>
                <w:bCs/>
              </w:rPr>
              <w:t xml:space="preserve">0</w:t>
            </w:r>
          </w:p>
        </w:tc>
        <w:tc>
          <w:tcPr>
            <w:tcW w:w="1000" w:type="dxa"/>
          </w:tcPr>
          <w:p>
            <w:pPr>
              <w:pStyle w:val="center"/>
            </w:pPr>
            <w:r>
              <w:rPr>
                <w:rFonts w:ascii="宋体" w:hAnsi="宋体" w:eastAsia="宋体" w:cs="宋体"/>
                <w:color w:val="000000"/>
                <w:sz w:val="20"/>
                <w:szCs w:val="20"/>
                <w:b/>
                <w:bCs/>
              </w:rPr>
              <w:t xml:space="preserve">-</w:t>
            </w:r>
          </w:p>
        </w:tc>
        <w:tc>
          <w:tcPr>
            <w:tcW w:w="1500" w:type="dxa"/>
          </w:tcPr>
          <w:p>
            <w:pPr>
              <w:pStyle w:val="center"/>
            </w:pPr>
            <w:r>
              <w:rPr>
                <w:rFonts w:ascii="宋体" w:hAnsi="宋体" w:eastAsia="宋体" w:cs="宋体"/>
                <w:color w:val="000000"/>
                <w:sz w:val="20"/>
                <w:szCs w:val="20"/>
                <w:b/>
                <w:bCs/>
              </w:rPr>
              <w:t xml:space="preserve"/>
            </w:r>
          </w:p>
        </w:tc>
        <w:tc>
          <w:tcPr>
            <w:tcW w:w="1500" w:type="dxa"/>
          </w:tcPr>
          <w:p>
            <w:pPr>
              <w:pStyle w:val="center"/>
            </w:pPr>
            <w:r>
              <w:rPr>
                <w:rFonts w:ascii="宋体" w:hAnsi="宋体" w:eastAsia="宋体" w:cs="宋体"/>
                <w:color w:val="000000"/>
                <w:sz w:val="20"/>
                <w:szCs w:val="20"/>
                <w:b/>
                <w:bCs/>
              </w:rPr>
              <w:t xml:space="preserve">0</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1.交通：按实际参团人数安排空调旅游巴士，每人1正座
                <w:br/>
                2.用餐：1正1早（酒店自助早餐、自助晚餐）
                <w:br/>
                3.住宿：一晚住宿（单人入住需补房差）
                <w:br/>
                4.景点：无（酒店住房含1小时净水疗）
                <w:br/>
                5.导游：提供专业导游服务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1、行程中一切个人消费自理；
                <w:br/>
                2、因交通延阻、罢工、天气等不可抗力原因所引致的额外费用。
                <w:br/>
                3、以上单人入住酒店按订房费的价格补房差。
              </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1.在参加活动期间，宾客请根据个人身体条件慎重选择游玩项目，服从景区救生工作人员的指挥，必须在指定的区域和时间游玩，严禁在没有救生配置的区域内游玩。
                <w:br/>
                2.宾客请根据个人身体条件自备 旅途生活用品和个人医嘱用药，注意饮食卫生。
                <w:br/>
                3.请注意保管好自己的财物，如有发生财物丢失旅行社不承担责任。
                <w:br/>
                4.如遇到台风,暴雨或河水上涨等不可抗力因素而影响团队行程的,为保障客人生命财产安全, 我社将尽早通知客人取消行程；
                <w:br/>
                5.请各位团友在团队结束后，请认真填写旅游服务质量意见书，宾客的宝贵意见是我社提高服务质量的重要依据。
                <w:br/>
                6.请出团当天带身份证原件或其他有效旅游证件入住酒店！
                <w:br/>
                7.本团40人成团，若不成团则提前通知，不另作赔偿！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一、特别约定：
                <w:br/>
                1.客人出团当天需要出示穗康码和接受体温测量，如出现下列情况之一，视为因客人原因退团，按照合同约定处理。旅行社有权拒绝客人上车，客人应自觉配合。（1）客人不能出示穗康码或穗康码过期无效；
                <w:br/>
                （2）客人出示的穗康码背景颜色为 “红码”高风险状态的；
                <w:br/>
                （3）客人拒绝接受旅行社或相关部门体温测量；或受相关部门要求进行留观处理无法跟随团队行进的；（4）客人通过药物等其他方式降低体温，隐瞒病情。2.如客人出团当天出示的穗康码处于有效期内，且穗康码背景颜色为“ 蓝码”或“绿码”低风险状态的，但体温测量超过（含）37.3℃，旅行社有权拒绝客人上车，并视为双方解除合同，客人应自觉配合。
                <w:br/>
                3.客人在车内、室内、人多的地方必须配带口罩，在游览过程中不聚众，与前后游客保持安全的距离。
                <w:br/>
                4.基于旅游体验的特殊性，若客人在行程中对任何旅游服务质量存有异议，请立即向导游提出，以便旅行社能及时核查及采取补救措施，若客人没有及时提出或擅自解决而导致旅行社错过补救解决机会的，由此产生的扩大损失由客人自行承担。
                <w:br/>
                二、本线路所赠送的礼品由东莞芬璐乳胶赞助，芬璐乳胶属于东莞工业旅游示范点，不属于旅游购物店。
                <w:br/>
                1、此团行程是散客拼团游，当客人到达当地后有可能存在等待其他客人的情况，请听从导游安排，请游客谅解！
                <w:br/>
                2、出发地：广州	目的地： 东莞
                <w:br/>
                3、请您带好有效证件原件（身份证、护照、港澳通行证、台胞证、回乡证军官证等），儿童携带户口簿原件或复印件；
                <w:br/>
                4、游客在旅游期间需要遵守相关国家法律法规之规定。因自身过错、或者自身疾病引起的人身和财产损失责任游客自负，旅行社不承担责任。特别提醒：贵重物品（现金、首饰、贵重设备等）请随身携带或存放在景区贵重物品保管箱。
                <w:br/>
                5、酒店住宿按床位安排，如单男单女报名，在可以拼房的情况下我社可以协调团队同性别客人拼房，若任一方客人不同意， 则请自行补单房差。
                <w:br/>
                6、按照国家相关法律规定，旅游车辆严禁超载，执行一人一正座的规定。未成年小童及婴儿均需占有车位。敬请客人按实际报名人数出行，未经旅行社同意不能临时增加人员（包括小童及婴儿），如遇车位不足，我社将拒绝上车。
                <w:br/>
                7、我社按客人报名先后顺序排位，预先给客人编排好车位，请客人自觉礼让，听从导游安排，请出发当天带身份证原件、收据或合同前往指定时间地点集中，过时不候。
                <w:br/>
                8、请仔细阅读本行程，根据自身条件选择适合自己的旅游线路，出游过程中，如因身体健康等自身原因需放弃部分行程的， 或游客要求放弃部分住宿、交通的，均视为自愿放弃，费用不予退还，放弃行程期间的人身安全由旅游者自行负责
                <w:br/>
                9、1.4 米以下小童、55 岁以上老人、不适宜参加剧烈运动的游客敬请根据自己的身体状况选择适合的线路参团；
                <w:br/>
                10、如游客餐饮有特殊要求（如素食、民族禁忌等），烦请提前告知，以便安排。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保险信息</w:t>
            </w:r>
          </w:p>
        </w:tc>
        <w:tc>
          <w:tcPr>
            <w:tcW w:w="8200" w:type="dxa"/>
          </w:tcPr>
          <w:p>
            <w:pPr>
              <w:pStyle w:val="indent"/>
            </w:pPr>
            <w:r>
              <w:rPr>
                <w:rFonts w:ascii="宋体" w:hAnsi="宋体" w:eastAsia="宋体" w:cs="宋体"/>
                <w:color w:val="000000"/>
                <w:sz w:val="20"/>
                <w:szCs w:val="20"/>
              </w:rPr>
              <w:t xml:space="preserve">65岁以上长者参团，需先咨询OP</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打印日期：2024-05-04</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tationSiteList">
    <w:name w:val="lineStationSiteLi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2024-05-04T18:37:29+08:00</dcterms:created>
  <dcterms:modified xsi:type="dcterms:W3CDTF">2024-05-04T18:37:29+08:00</dcterms:modified>
</cp:coreProperties>
</file>

<file path=docProps/custom.xml><?xml version="1.0" encoding="utf-8"?>
<Properties xmlns="http://schemas.openxmlformats.org/officeDocument/2006/custom-properties" xmlns:vt="http://schemas.openxmlformats.org/officeDocument/2006/docPropsVTypes"/>
</file>