
<file path=[Content_Types].xml><?xml version="1.0" encoding="utf-8"?>
<Types xmlns="http://schemas.openxmlformats.org/package/2006/content-types">
  <Default Extension="rels" ContentType="application/vnd.openxmlformats-package.relationships+xml"/>
  <Default Extension="xml" ContentType="application/xml"/>
  <Default Extension="jpg" ContentType="image/jpeg"/>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pPr>
      <w:r>
        <w:pict>
          <v:shape type="#_x0000_t75" style="width:375pt; height:25pt; margin-left:0pt; margin-top:0pt; mso-position-horizontal:left; mso-position-vertical:top; mso-position-horizontal-relative:char; mso-position-vertical-relative:line;">
            <w10:wrap type="inline"/>
            <v:imagedata r:id="rId7" o:title=""/>
          </v:shape>
        </w:pict>
      </w:r>
    </w:p>
    <w:p>
      <w:pPr>
        <w:pStyle w:val="pStyle"/>
      </w:pPr>
      <w:r>
        <w:rPr>
          <w:rFonts w:ascii="宋体" w:hAnsi="宋体" w:eastAsia="宋体" w:cs="宋体"/>
          <w:sz w:val="24"/>
          <w:szCs w:val="24"/>
          <w:b/>
          <w:bCs/>
        </w:rPr>
        <w:t xml:space="preserve">【连州菜心节2天】399买一送一丨金秋行摄千年银杏丨品尝阳山鸡美食行程单</w:t>
      </w:r>
    </w:p>
    <w:tbl>
      <w:tblGrid>
        <w:gridCol w:w="1200" w:type="dxa"/>
        <w:gridCol w:w="2300" w:type="dxa"/>
        <w:gridCol w:w="1200" w:type="dxa"/>
        <w:gridCol w:w="2300" w:type="dxa"/>
        <w:gridCol w:w="1200" w:type="dxa"/>
        <w:gridCol w:w="2300" w:type="dxa"/>
      </w:tblGrid>
      <w:tblPr>
        <w:tblStyle w:val="travel"/>
      </w:tblPr>
      <w:tr>
        <w:trPr/>
        <w:tc>
          <w:tcPr>
            <w:tcW w:w="1200" w:type="dxa"/>
            <w:vAlign w:val="center"/>
            <w:shd w:val="clear" w:fill="efefef"/>
          </w:tcPr>
          <w:p>
            <w:pPr>
              <w:pStyle w:val="center"/>
            </w:pPr>
            <w:r>
              <w:rPr>
                <w:rFonts w:ascii="宋体" w:hAnsi="宋体" w:eastAsia="宋体" w:cs="宋体"/>
                <w:color w:val="000000"/>
                <w:sz w:val="20"/>
                <w:szCs w:val="20"/>
                <w:b/>
                <w:bCs/>
              </w:rPr>
              <w:t xml:space="preserve">产品编号</w:t>
            </w:r>
          </w:p>
        </w:tc>
        <w:tc>
          <w:tcPr>
            <w:tcW w:w="2300" w:type="dxa"/>
          </w:tcPr>
          <w:p>
            <w:pPr>
              <w:pStyle w:val="indent"/>
            </w:pPr>
            <w:r>
              <w:rPr>
                <w:rFonts w:ascii="宋体" w:hAnsi="宋体" w:eastAsia="宋体" w:cs="宋体"/>
                <w:color w:val="000000"/>
                <w:sz w:val="20"/>
                <w:szCs w:val="20"/>
              </w:rPr>
              <w:t xml:space="preserve">TX-20261102SP10319071</w:t>
            </w:r>
          </w:p>
        </w:tc>
        <w:tc>
          <w:tcPr>
            <w:tcW w:w="1200" w:type="dxa"/>
            <w:vAlign w:val="center"/>
            <w:shd w:val="clear" w:fill="efefef"/>
          </w:tcPr>
          <w:p>
            <w:pPr>
              <w:pStyle w:val="center"/>
            </w:pPr>
            <w:r>
              <w:rPr>
                <w:rFonts w:ascii="宋体" w:hAnsi="宋体" w:eastAsia="宋体" w:cs="宋体"/>
                <w:color w:val="000000"/>
                <w:sz w:val="20"/>
                <w:szCs w:val="20"/>
                <w:b/>
                <w:bCs/>
              </w:rPr>
              <w:t xml:space="preserve">出发地</w:t>
            </w:r>
          </w:p>
        </w:tc>
        <w:tc>
          <w:tcPr>
            <w:tcW w:w="2300" w:type="dxa"/>
          </w:tcPr>
          <w:p>
            <w:pPr>
              <w:pStyle w:val="indent"/>
            </w:pPr>
            <w:r>
              <w:rPr>
                <w:rFonts w:ascii="宋体" w:hAnsi="宋体" w:eastAsia="宋体" w:cs="宋体"/>
                <w:color w:val="000000"/>
                <w:sz w:val="20"/>
                <w:szCs w:val="20"/>
              </w:rPr>
              <w:t xml:space="preserve">广州市</w:t>
            </w:r>
          </w:p>
        </w:tc>
        <w:tc>
          <w:tcPr>
            <w:tcW w:w="1200" w:type="dxa"/>
            <w:vAlign w:val="center"/>
            <w:shd w:val="clear" w:fill="efefef"/>
          </w:tcPr>
          <w:p>
            <w:pPr>
              <w:pStyle w:val="center"/>
            </w:pPr>
            <w:r>
              <w:rPr>
                <w:rFonts w:ascii="宋体" w:hAnsi="宋体" w:eastAsia="宋体" w:cs="宋体"/>
                <w:color w:val="000000"/>
                <w:sz w:val="20"/>
                <w:szCs w:val="20"/>
                <w:b/>
                <w:bCs/>
              </w:rPr>
              <w:t xml:space="preserve">目的地</w:t>
            </w:r>
          </w:p>
        </w:tc>
        <w:tc>
          <w:tcPr>
            <w:tcW w:w="2300" w:type="dxa"/>
          </w:tcPr>
          <w:p>
            <w:pPr>
              <w:pStyle w:val="indent"/>
            </w:pPr>
            <w:r>
              <w:rPr>
                <w:rFonts w:ascii="宋体" w:hAnsi="宋体" w:eastAsia="宋体" w:cs="宋体"/>
                <w:color w:val="000000"/>
                <w:sz w:val="20"/>
                <w:szCs w:val="20"/>
              </w:rPr>
              <w:t xml:space="preserve">清远市</w:t>
            </w:r>
          </w:p>
        </w:tc>
      </w:tr>
      <w:tr>
        <w:trPr/>
        <w:tc>
          <w:tcPr>
            <w:tcW w:w="1200" w:type="dxa"/>
            <w:vAlign w:val="center"/>
            <w:shd w:val="clear" w:fill="efefef"/>
          </w:tcPr>
          <w:p>
            <w:pPr>
              <w:pStyle w:val="center"/>
            </w:pPr>
            <w:r>
              <w:rPr>
                <w:rFonts w:ascii="宋体" w:hAnsi="宋体" w:eastAsia="宋体" w:cs="宋体"/>
                <w:color w:val="000000"/>
                <w:sz w:val="20"/>
                <w:szCs w:val="20"/>
                <w:b/>
                <w:bCs/>
              </w:rPr>
              <w:t xml:space="preserve">行程天数</w:t>
            </w:r>
          </w:p>
        </w:tc>
        <w:tc>
          <w:tcPr>
            <w:tcW w:w="2300" w:type="dxa"/>
          </w:tcPr>
          <w:p>
            <w:pPr>
              <w:pStyle w:val="indent"/>
            </w:pPr>
            <w:r>
              <w:rPr>
                <w:rFonts w:ascii="宋体" w:hAnsi="宋体" w:eastAsia="宋体" w:cs="宋体"/>
                <w:color w:val="000000"/>
                <w:sz w:val="20"/>
                <w:szCs w:val="20"/>
              </w:rPr>
              <w:t xml:space="preserve">2</w:t>
            </w:r>
          </w:p>
        </w:tc>
        <w:tc>
          <w:tcPr>
            <w:tcW w:w="1200" w:type="dxa"/>
            <w:vAlign w:val="center"/>
            <w:shd w:val="clear" w:fill="efefef"/>
          </w:tcPr>
          <w:p>
            <w:pPr>
              <w:pStyle w:val="center"/>
            </w:pPr>
            <w:r>
              <w:rPr>
                <w:rFonts w:ascii="宋体" w:hAnsi="宋体" w:eastAsia="宋体" w:cs="宋体"/>
                <w:color w:val="000000"/>
                <w:sz w:val="20"/>
                <w:szCs w:val="20"/>
                <w:b/>
                <w:bCs/>
              </w:rPr>
              <w:t xml:space="preserve">去程交通</w:t>
            </w:r>
          </w:p>
        </w:tc>
        <w:tc>
          <w:tcPr>
            <w:tcW w:w="2300" w:type="dxa"/>
          </w:tcPr>
          <w:p>
            <w:pPr>
              <w:pStyle w:val="indent"/>
            </w:pPr>
            <w:r>
              <w:rPr>
                <w:rFonts w:ascii="宋体" w:hAnsi="宋体" w:eastAsia="宋体" w:cs="宋体"/>
                <w:color w:val="000000"/>
                <w:sz w:val="20"/>
                <w:szCs w:val="20"/>
              </w:rPr>
              <w:t xml:space="preserve">汽车</w:t>
            </w:r>
          </w:p>
        </w:tc>
        <w:tc>
          <w:tcPr>
            <w:tcW w:w="1200" w:type="dxa"/>
            <w:vAlign w:val="center"/>
            <w:shd w:val="clear" w:fill="efefef"/>
          </w:tcPr>
          <w:p>
            <w:pPr>
              <w:pStyle w:val="center"/>
            </w:pPr>
            <w:r>
              <w:rPr>
                <w:rFonts w:ascii="宋体" w:hAnsi="宋体" w:eastAsia="宋体" w:cs="宋体"/>
                <w:color w:val="000000"/>
                <w:sz w:val="20"/>
                <w:szCs w:val="20"/>
                <w:b/>
                <w:bCs/>
              </w:rPr>
              <w:t xml:space="preserve">返程交通</w:t>
            </w:r>
          </w:p>
        </w:tc>
        <w:tc>
          <w:tcPr>
            <w:tcW w:w="2300" w:type="dxa"/>
          </w:tcPr>
          <w:p>
            <w:pPr>
              <w:pStyle w:val="indent"/>
            </w:pPr>
            <w:r>
              <w:rPr>
                <w:rFonts w:ascii="宋体" w:hAnsi="宋体" w:eastAsia="宋体" w:cs="宋体"/>
                <w:color w:val="000000"/>
                <w:sz w:val="20"/>
                <w:szCs w:val="20"/>
              </w:rPr>
              <w:t xml:space="preserve">汽车</w:t>
            </w:r>
          </w:p>
        </w:tc>
      </w:tr>
      <w:tr>
        <w:trPr/>
        <w:tc>
          <w:tcPr>
            <w:tcW w:w="1200" w:type="dxa"/>
            <w:vAlign w:val="center"/>
            <w:shd w:val="clear" w:fill="efefef"/>
          </w:tcPr>
          <w:p>
            <w:pPr>
              <w:pStyle w:val="center"/>
            </w:pPr>
            <w:r>
              <w:rPr>
                <w:rFonts w:ascii="宋体" w:hAnsi="宋体" w:eastAsia="宋体" w:cs="宋体"/>
                <w:color w:val="000000"/>
                <w:sz w:val="20"/>
                <w:szCs w:val="20"/>
                <w:b/>
                <w:bCs/>
              </w:rPr>
              <w:t xml:space="preserve">参考航班</w:t>
            </w:r>
          </w:p>
        </w:tc>
        <w:tc>
          <w:tcPr>
            <w:gridSpan w:val="5"/>
          </w:tcPr>
          <w:p>
            <w:pPr>
              <w:pStyle w:val="indent"/>
            </w:pPr>
            <w:r>
              <w:rPr>
                <w:rFonts w:ascii="宋体" w:hAnsi="宋体" w:eastAsia="宋体" w:cs="宋体"/>
                <w:color w:val="000000"/>
                <w:sz w:val="20"/>
                <w:szCs w:val="20"/>
              </w:rPr>
              <w:t xml:space="preserve">
                上车点：（时间仅供参考，实际出发时间以导游通知为准！）
                <w:br/>
                07:00番禺广场基盛万科肯德基门口（番禺广场地铁站E出口）
                <w:br/>
                08:00流花路中国大酒店对面（越秀公园地铁C出口）
                <w:br/>
                8:45花都云山路体育馆北门（花果山地铁站A2出口）
                <w:br/>
                下车点：原上车点下车
                <w:br/>
                市区指定范围内15人或以上定点接送
                <w:br/>
                番禺指定范围内15人或以上定点接送
                <w:br/>
                （下单需提供具体位置，定点上车前提不违章抄牌，不接偏远地区）
              </w:t>
            </w:r>
          </w:p>
        </w:tc>
      </w:tr>
      <w:tr>
        <w:trPr/>
        <w:tc>
          <w:tcPr>
            <w:tcW w:w="1200" w:type="dxa"/>
            <w:vAlign w:val="center"/>
            <w:shd w:val="clear" w:fill="efefef"/>
          </w:tcPr>
          <w:p>
            <w:pPr>
              <w:pStyle w:val="center"/>
            </w:pPr>
            <w:r>
              <w:rPr>
                <w:rFonts w:ascii="宋体" w:hAnsi="宋体" w:eastAsia="宋体" w:cs="宋体"/>
                <w:color w:val="000000"/>
                <w:sz w:val="20"/>
                <w:szCs w:val="20"/>
                <w:b/>
                <w:bCs/>
              </w:rPr>
              <w:t xml:space="preserve">产品亮点</w:t>
            </w:r>
          </w:p>
        </w:tc>
        <w:tc>
          <w:tcPr>
            <w:gridSpan w:val="5"/>
          </w:tcPr>
          <w:p>
            <w:pPr>
              <w:pStyle w:val="indent"/>
            </w:pPr>
            <w:r>
              <w:rPr>
                <w:rFonts w:ascii="宋体" w:hAnsi="宋体" w:eastAsia="宋体" w:cs="宋体"/>
                <w:color w:val="000000"/>
                <w:sz w:val="20"/>
                <w:szCs w:val="20"/>
              </w:rPr>
              <w:t xml:space="preserve">
                1 千年银杏童话村看坪银杏 黄金落叶铺满地 远观大风车山
                <w:br/>
                2 瑶安洛神汇演：瑶族铃舞、山歌、竹竿舞、烈火秀、点火仪式、篝火狂欢、洛阳河灯光音乐喷泉秀等
                <w:br/>
                3原始古老千户瑶寨吊脚楼 连州菜心基地 广东小桂林牵手桥
              </w:t>
            </w:r>
          </w:p>
        </w:tc>
      </w:tr>
    </w:tbl>
    <w:p>
      <w:pPr>
        <w:jc w:val="left"/>
        <w:spacing w:before="10" w:after="10"/>
      </w:pPr>
      <w:r>
        <w:rPr>
          <w:rFonts w:ascii="宋体" w:hAnsi="宋体" w:eastAsia="宋体" w:cs="宋体"/>
          <w:sz w:val="22"/>
          <w:szCs w:val="22"/>
          <w:b/>
          <w:bCs/>
        </w:rPr>
        <w:t xml:space="preserve">行程安排</w:t>
      </w:r>
    </w:p>
    <w:tbl>
      <w:tblGrid>
        <w:gridCol w:w="1200" w:type="dxa"/>
        <w:gridCol w:w="5800" w:type="dxa"/>
        <w:gridCol w:w="1500" w:type="dxa"/>
        <w:gridCol w:w="2000" w:type="dxa"/>
      </w:tblGrid>
      <w:tblPr>
        <w:tblStyle w:val="lineSchedulings"/>
      </w:tblPr>
      <w:tr>
        <w:trPr/>
        <w:tc>
          <w:tcPr>
            <w:tcW w:w="1200" w:type="dxa"/>
            <w:vAlign w:val="center"/>
            <w:shd w:val="clear" w:fill="efefef"/>
          </w:tcPr>
          <w:p>
            <w:pPr>
              <w:pStyle w:val="center"/>
            </w:pPr>
            <w:r>
              <w:rPr>
                <w:rFonts w:ascii="宋体" w:hAnsi="宋体" w:eastAsia="宋体" w:cs="宋体"/>
                <w:color w:val="000000"/>
                <w:sz w:val="20"/>
                <w:szCs w:val="20"/>
                <w:b/>
                <w:bCs/>
              </w:rPr>
              <w:t xml:space="preserve">天数</w:t>
            </w:r>
          </w:p>
        </w:tc>
        <w:tc>
          <w:tcPr>
            <w:tcW w:w="5800" w:type="dxa"/>
            <w:vAlign w:val="center"/>
            <w:shd w:val="clear" w:fill="efefef"/>
          </w:tcPr>
          <w:p>
            <w:pPr>
              <w:pStyle w:val="center"/>
            </w:pPr>
            <w:r>
              <w:rPr>
                <w:rFonts w:ascii="宋体" w:hAnsi="宋体" w:eastAsia="宋体" w:cs="宋体"/>
                <w:color w:val="000000"/>
                <w:sz w:val="20"/>
                <w:szCs w:val="20"/>
                <w:b/>
                <w:bCs/>
              </w:rPr>
              <w:t xml:space="preserve">行程详情</w:t>
            </w:r>
          </w:p>
        </w:tc>
        <w:tc>
          <w:tcPr>
            <w:tcW w:w="1500" w:type="dxa"/>
            <w:vAlign w:val="center"/>
            <w:shd w:val="clear" w:fill="efefef"/>
          </w:tcPr>
          <w:p>
            <w:pPr>
              <w:pStyle w:val="center"/>
            </w:pPr>
            <w:r>
              <w:rPr>
                <w:rFonts w:ascii="宋体" w:hAnsi="宋体" w:eastAsia="宋体" w:cs="宋体"/>
                <w:color w:val="000000"/>
                <w:sz w:val="20"/>
                <w:szCs w:val="20"/>
                <w:b/>
                <w:bCs/>
              </w:rPr>
              <w:t xml:space="preserve">用餐</w:t>
            </w:r>
          </w:p>
        </w:tc>
        <w:tc>
          <w:tcPr>
            <w:tcW w:w="2000" w:type="dxa"/>
            <w:vAlign w:val="center"/>
            <w:shd w:val="clear" w:fill="efefef"/>
          </w:tcPr>
          <w:p>
            <w:pPr>
              <w:pStyle w:val="center"/>
            </w:pPr>
            <w:r>
              <w:rPr>
                <w:rFonts w:ascii="宋体" w:hAnsi="宋体" w:eastAsia="宋体" w:cs="宋体"/>
                <w:color w:val="000000"/>
                <w:sz w:val="20"/>
                <w:szCs w:val="20"/>
                <w:b/>
                <w:bCs/>
              </w:rPr>
              <w:t xml:space="preserve">住宿</w:t>
            </w:r>
          </w:p>
        </w:tc>
      </w:tr>
      <w:tr>
        <w:trPr/>
        <w:tc>
          <w:tcPr/>
          <w:p>
            <w:pPr>
              <w:pStyle w:val="center"/>
            </w:pPr>
            <w:r>
              <w:rPr>
                <w:rFonts w:ascii="宋体" w:hAnsi="宋体" w:eastAsia="宋体" w:cs="宋体"/>
                <w:color w:val="000000"/>
                <w:sz w:val="20"/>
                <w:szCs w:val="20"/>
              </w:rPr>
              <w:t xml:space="preserve">D1</w:t>
            </w:r>
          </w:p>
        </w:tc>
        <w:tc>
          <w:tcPr/>
          <w:p>
            <w:pPr>
              <w:pStyle w:val="indent"/>
            </w:pPr>
            <w:r>
              <w:rPr>
                <w:rFonts w:ascii="宋体" w:hAnsi="宋体" w:eastAsia="宋体" w:cs="宋体"/>
                <w:color w:val="000000"/>
                <w:sz w:val="20"/>
                <w:szCs w:val="20"/>
              </w:rPr>
              <w:t xml:space="preserve">
                集中出发-广东小桂林牵手桥-午餐-千年银杏-前江铺-洛神汇表演-入住连州酒店
                <w:br/>
                08：00集中前往—珠江三角洲后花园—清远市阳山县一路欣赏粤北风光（车程约3小时）。
                <w:br/>
                11：00鱼水风景区是珠江三角洲旅游团队以及外宾、港澳台同胞前往 “三连一阳” 旅游的门户，因其山水风光与漓江有异曲同工之妙，故而享有 “广东漓江”“广东小桂林” 的美誉。鱼水风景区是第四届全国金鸡奖最佳故事片《乡音》的外景拍摄基地，承载着深厚的文化底蕴。游客在欣赏自然美景的同时，可探寻电影取景地的故事，感受人文与自然的完美交融，体会人与自然和谐共生的美好。景区沿河流两岸分布，奇峰林立，绿树掩映，翠竹婆娑，典型的喀斯特地貌赋予景观灵秀之美。峰峦倒映在江水中，如墨染一般，形成 “峰峦映江如墨染” 的如画场景，让游客仿佛置身于天然画卷之中。牵手桥有着悠久的传说，大明嘉靖年间，一位痴情书生与赵家小姐隔溪盟誓，书生许下承诺，后来衣锦还乡时筑桥迎亲，这便是 “牵手桥” 的由来。桥梁承载着千年情话说，木质结构尽显古朴韵味，是景区内充满浪漫色彩与历史感的景观。如需体验竹筏漂游需自行自费68元/人：乘坐竹筏穿梭于碧水之间，欣赏两岸奇峰林立的景观，沉浸式感受 “人在画中游” 的诗意意境，近距离接触清澈河水与翠绿峰林，体验自然之美。
                <w:br/>
                12：30前往餐厅享用午餐（蒸阳山鸡美食） 。
                <w:br/>
                14：00看坪千年银杏基地自由参观开启寻觅【千年树精灵】，以丛生古银杏群闻名，随处可见上百年树龄的银杏，树龄最长的超一千年。在乡间小道上，周边金色耀眼的银杏林，成为当地独特而绚丽的风景，近年来吸引了不少本地外地游客专程探访，摄影爱好者更是视之为创作乐园。漫步房前屋后，随处可见金色银杏树。女游客们把一堆堆的黄金树叶捧在手中一撒，犹如仙女下凡般动人心弦银杏摇曳，千年落叶宛若黄金毯；它是自然献给人类的礼赞；镌刻着古老气息，演变着沧桑历史，奏响秋收的序曲；银杏黄，是这穿透几亿时光的光芒，绽放生命的太古绝唱；银杏黄，灿烂人生，灿烂如它；秋天的银杏，是人间最美好的姿态。（银杏会因天气原因而早黄或迟黄，视天气而定，敬请留意)。
                <w:br/>
                16：30前往新晋网红点前江铺：步入前江铺，一幅古今交融的诗意画卷徐徐展开。小河绕村蜿蜒，古石桥静卧清波，青石板路穿行于青砖黛瓦之间，村内数十座清代古建筑保存完好，飞檐翘角精巧灵动，雕花窗棂尽显匠心，客家韵味与岭南风情浑然一体。村东碉楼高耸矗立，瞭望窗与枪眼依稀可辨，默默见证着昔日茶盐古道的商旅繁华。街巷两侧新植的花卉迎春绽放，姹紫嫣红的花簇与古朴建筑相映成趣，为百年古村增添了盎然生机与浪漫气息。
                <w:br/>
                18：00前往餐厅自费享用特色晚餐，晚餐后瑶安洛神谷依山傍水风景秀丽，宛如一幅天然的山水画卷。这里不仅拥有省级非遗瑶族高台小长鼓舞，还保留着古老的驿道，瑶族文化底蕴深厚。瑶安风情特色小镇一一洛神谷，是连州市贯彻落实乡村振兴战略，推动民族地区高质量发展的重点项目之一。项目以瑶家建筑、瑶家民俗、瑶家风味等瑶族文化为核心，依托当地优美的自然生态资源，着力打造集文化观光、文化传播、民俗游乐、风情商业、休闲度假等。当夜幕降临时篝火架起来和瑶族阿哥阿妹手牵手载歌载舞：表演内容包括非遗火壶、瑶族铃舞、山歌、竹竿舞、烈火秀、游客点火仪式、篝火狂欢、洛阳河灯光音乐喷泉秀等。（活动由当地政府办理，节目以当天实际为准。如因特殊情况或者特殊天气取消表演没有费用可退。）
                <w:br/>
                后前往酒店办理入住， 入住后自行逛连州不夜城美食街。
                <w:br/>
              </w:t>
            </w:r>
          </w:p>
        </w:tc>
        <w:tc>
          <w:tcPr/>
          <w:p>
            <w:pPr>
              <w:pStyle w:val="indent"/>
            </w:pPr>
            <w:r>
              <w:rPr>
                <w:rFonts w:ascii="宋体" w:hAnsi="宋体" w:eastAsia="宋体" w:cs="宋体"/>
                <w:color w:val="000000"/>
                <w:sz w:val="20"/>
                <w:szCs w:val="20"/>
              </w:rPr>
              <w:t xml:space="preserve">早餐：X     午餐：√     晚餐：X   </w:t>
            </w:r>
          </w:p>
        </w:tc>
        <w:tc>
          <w:tcPr/>
          <w:p>
            <w:pPr>
              <w:pStyle w:val="indent"/>
            </w:pPr>
            <w:r>
              <w:rPr>
                <w:rFonts w:ascii="宋体" w:hAnsi="宋体" w:eastAsia="宋体" w:cs="宋体"/>
                <w:color w:val="000000"/>
                <w:sz w:val="20"/>
                <w:szCs w:val="20"/>
              </w:rPr>
              <w:t xml:space="preserve">连州金龙湾/富华酒店或者舒适酒店</w:t>
            </w:r>
          </w:p>
        </w:tc>
      </w:tr>
      <w:tr>
        <w:trPr/>
        <w:tc>
          <w:tcPr/>
          <w:p>
            <w:pPr>
              <w:pStyle w:val="center"/>
            </w:pPr>
            <w:r>
              <w:rPr>
                <w:rFonts w:ascii="宋体" w:hAnsi="宋体" w:eastAsia="宋体" w:cs="宋体"/>
                <w:color w:val="000000"/>
                <w:sz w:val="20"/>
                <w:szCs w:val="20"/>
              </w:rPr>
              <w:t xml:space="preserve">D2</w:t>
            </w:r>
          </w:p>
        </w:tc>
        <w:tc>
          <w:tcPr/>
          <w:p>
            <w:pPr>
              <w:pStyle w:val="indent"/>
            </w:pPr>
            <w:r>
              <w:rPr>
                <w:rFonts w:ascii="宋体" w:hAnsi="宋体" w:eastAsia="宋体" w:cs="宋体"/>
                <w:color w:val="000000"/>
                <w:sz w:val="20"/>
                <w:szCs w:val="20"/>
              </w:rPr>
              <w:t xml:space="preserve">
                早餐-菜心基地-千户油岭瑶寨-午餐自理-返程
                <w:br/>
                07:00-08：00酒店享用早餐
                <w:br/>
                09：00前往【连州菜心基地】连州菜心为广东省清远市连州市特产，全国农产品地理标志。连州地处粤北，山清水秀，土地肥沃，溪水清澈，秋冬季节昼夜温差大的特殊气候使得种植出来的菜心具有香甜、细嫩、爽口汁多的特点。连州菜心营养价值高，高蛋白，低脂肪，富含胺基酸、维生素、糖、铁、钙、磷、镁等人体必须的多种微量元素。
                <w:br/>
                10：00【千年古老瑶寨油岭瑶寨】 它位于连南县城西南，海拔803米，鼎盛时有民居700多幢、1000多户、7000多人，被称誉为首领排。古镇依山而建，房屋层叠，错落有致；石板道纵横交错，主次分明。此寨建于宋代，历今已有千余年的历史。据专家考证，南岗是全国乃至全世界规模最大、最古老、最有特色的瑶寨。现居住在山寨的瑶民，主要有邓、唐、盘、房四个氏族。他们在明代时就建立了民主选举的“瑶老制”，并形成了神圣而严厉的“习惯法”，严格管理山寨。现古寨只保留了200余人和368幢明清时期的古宅及寨门、寨墙、石板道等。走进古寨，仿佛进入历史的时光隧道，思古之幽情油然而生，让人感受到瑶族历史的悠久和传统文化的古典美。（如前往旧寨途中不步行上山的，需要乘坐来回双程观光车需自费30元/人双程。）
                <w:br/>
                12：30-13：30前往餐厅自费享用午餐。
                <w:br/>
                14：30集中返程温暖的家，结束愉快旅程！
                <w:br/>
                <w:br/>
                *********************祝旅途愉快*********************
                <w:br/>
                【以上行程时间安排仅供参考，实际按导游当天安排及交通情况为准】
                <w:br/>
                【此线路是赏秋色线路，旅行社根据往年景区最佳预先开出团班期，但效果，容易受到温度、空气、水份等不可控因素影响，对欣赏效果出现偏差。当此情况发生时旅行社不作任何赔偿。敬请谅解。】
                <w:br/>
              </w:t>
            </w:r>
          </w:p>
        </w:tc>
        <w:tc>
          <w:tcPr/>
          <w:p>
            <w:pPr>
              <w:pStyle w:val="indent"/>
            </w:pPr>
            <w:r>
              <w:rPr>
                <w:rFonts w:ascii="宋体" w:hAnsi="宋体" w:eastAsia="宋体" w:cs="宋体"/>
                <w:color w:val="000000"/>
                <w:sz w:val="20"/>
                <w:szCs w:val="20"/>
              </w:rPr>
              <w:t xml:space="preserve">早餐：√     午餐：X     晚餐：X   </w:t>
            </w:r>
          </w:p>
        </w:tc>
        <w:tc>
          <w:tcPr/>
          <w:p>
            <w:pPr>
              <w:pStyle w:val="indent"/>
            </w:pPr>
            <w:r>
              <w:rPr>
                <w:rFonts w:ascii="宋体" w:hAnsi="宋体" w:eastAsia="宋体" w:cs="宋体"/>
                <w:color w:val="000000"/>
                <w:sz w:val="20"/>
                <w:szCs w:val="20"/>
              </w:rPr>
              <w:t xml:space="preserve">无</w:t>
            </w:r>
          </w:p>
        </w:tc>
      </w:tr>
    </w:tbl>
    <w:p>
      <w:pPr>
        <w:jc w:val="left"/>
        <w:spacing w:before="10" w:after="10"/>
      </w:pPr>
      <w:r>
        <w:rPr>
          <w:rFonts w:ascii="宋体" w:hAnsi="宋体" w:eastAsia="宋体" w:cs="宋体"/>
          <w:sz w:val="22"/>
          <w:szCs w:val="22"/>
          <w:b/>
          <w:bCs/>
        </w:rPr>
        <w:t xml:space="preserve">费用说明</w:t>
      </w:r>
    </w:p>
    <w:tbl>
      <w:tblGrid>
        <w:gridCol w:w="2300" w:type="dxa"/>
        <w:gridCol w:w="8200" w:type="dxa"/>
      </w:tblGrid>
      <w:tblPr>
        <w:tblStyle w:val="lineCost"/>
      </w:tblPr>
      <w:tr>
        <w:trPr/>
        <w:tc>
          <w:tcPr>
            <w:tcW w:w="2300" w:type="dxa"/>
            <w:vAlign w:val="center"/>
            <w:shd w:val="clear" w:fill="efefef"/>
          </w:tcPr>
          <w:p>
            <w:pPr>
              <w:pStyle w:val="center"/>
            </w:pPr>
            <w:r>
              <w:rPr>
                <w:rFonts w:ascii="宋体" w:hAnsi="宋体" w:eastAsia="宋体" w:cs="宋体"/>
                <w:color w:val="000000"/>
                <w:sz w:val="20"/>
                <w:szCs w:val="20"/>
                <w:b/>
                <w:bCs/>
              </w:rPr>
              <w:t xml:space="preserve">费用包含</w:t>
            </w:r>
          </w:p>
        </w:tc>
        <w:tc>
          <w:tcPr>
            <w:tcW w:w="8200" w:type="dxa"/>
            <w:gridSpan w:val="3"/>
          </w:tcPr>
          <w:p>
            <w:pPr>
              <w:pStyle w:val="indent"/>
            </w:pPr>
            <w:r>
              <w:rPr>
                <w:rFonts w:ascii="宋体" w:hAnsi="宋体" w:eastAsia="宋体" w:cs="宋体"/>
                <w:color w:val="000000"/>
                <w:sz w:val="20"/>
                <w:szCs w:val="20"/>
              </w:rPr>
              <w:t xml:space="preserve">
                出发日期：11月4/11/13/18/25日
                <w:br/>
                收费标准
                <w:br/>
                成人：399元/2人，占床+车位+餐+门票+导服；
                <w:br/>
                1.2-1.4m儿童：189元/人，不占床+车位+餐+门票+导服；
                <w:br/>
                1.2m以下儿童：159元/人，仅含车位费
                <w:br/>
                房差说明：
                <w:br/>
                三人房：有小量三人房
                <w:br/>
                补房差：平时60元/人 
                <w:br/>
                减房差：无
                <w:br/>
                如报名儿童身高与实到儿童身高不符，超高费用客人自理
                <w:br/>
                【费用包含】
                <w:br/>
                1、交通：按实际参团人数安排空调旅游巴士，每人1正座；
                <w:br/>
                2、用餐：含1早餐+1正餐（正餐10-12人一围，团队定制美食，不用不退）；餐均为配套，不用均无费用退，行程用餐自理期间导游推荐当地或附近用餐，费用自理,客人可自由参与)
                <w:br/>
                3、门票：行程所含景点首道大门票（园内园景点门票自理）；
                <w:br/>
                4、住宿：1晚连州舒适酒店；
                <w:br/>
                5、服务：含全程优秀导游服务（广州接团清远送团）；
                <w:br/>
                6、购物：无。
              </w:t>
            </w:r>
          </w:p>
        </w:tc>
      </w:tr>
      <w:tr>
        <w:trPr/>
        <w:tc>
          <w:tcPr>
            <w:tcW w:w="2300" w:type="dxa"/>
            <w:vAlign w:val="center"/>
            <w:shd w:val="clear" w:fill="efefef"/>
          </w:tcPr>
          <w:p>
            <w:pPr>
              <w:pStyle w:val="center"/>
            </w:pPr>
            <w:r>
              <w:rPr>
                <w:rFonts w:ascii="宋体" w:hAnsi="宋体" w:eastAsia="宋体" w:cs="宋体"/>
                <w:color w:val="000000"/>
                <w:sz w:val="20"/>
                <w:szCs w:val="20"/>
                <w:b/>
                <w:bCs/>
              </w:rPr>
              <w:t xml:space="preserve">费用不包含</w:t>
            </w:r>
          </w:p>
        </w:tc>
        <w:tc>
          <w:tcPr>
            <w:tcW w:w="8200" w:type="dxa"/>
            <w:gridSpan w:val="3"/>
          </w:tcPr>
          <w:p>
            <w:pPr>
              <w:pStyle w:val="indent"/>
            </w:pPr>
            <w:r>
              <w:rPr>
                <w:rFonts w:ascii="宋体" w:hAnsi="宋体" w:eastAsia="宋体" w:cs="宋体"/>
                <w:color w:val="000000"/>
                <w:sz w:val="20"/>
                <w:szCs w:val="20"/>
              </w:rPr>
              <w:t xml:space="preserve">
                1、行程中一切个人消费自理。行程用餐自理期间导游推荐当地或附近用餐，费用自理,客人可自由参与。
                <w:br/>
                2、强烈建议游客自行购买旅游意外保险。
                <w:br/>
                3、行程自费推荐：（客人自主选择，客人参与，请配合导游签名同意；客人不参与将不影响参团体验（或客人不参与，导游会按排附近自由活动）
              </w:t>
            </w:r>
          </w:p>
        </w:tc>
      </w:tr>
    </w:tbl>
    <w:p>
      <w:pPr>
        <w:jc w:val="left"/>
        <w:spacing w:before="10" w:after="10"/>
      </w:pPr>
      <w:r>
        <w:rPr>
          <w:rFonts w:ascii="宋体" w:hAnsi="宋体" w:eastAsia="宋体" w:cs="宋体"/>
          <w:sz w:val="22"/>
          <w:szCs w:val="22"/>
          <w:b/>
          <w:bCs/>
        </w:rPr>
        <w:t xml:space="preserve">其他说明</w:t>
      </w:r>
    </w:p>
    <w:tbl>
      <w:tblGrid>
        <w:gridCol w:w="2300" w:type="dxa"/>
        <w:gridCol w:w="8200" w:type="dxa"/>
      </w:tblGrid>
      <w:tblPr>
        <w:tblStyle w:val="remark"/>
      </w:tblPr>
      <w:tr>
        <w:trPr/>
        <w:tc>
          <w:tcPr>
            <w:tcW w:w="2300" w:type="dxa"/>
            <w:vAlign w:val="center"/>
            <w:shd w:val="clear" w:fill="efefef"/>
          </w:tcPr>
          <w:p>
            <w:pPr>
              <w:pStyle w:val="center"/>
            </w:pPr>
            <w:r>
              <w:rPr>
                <w:rFonts w:ascii="宋体" w:hAnsi="宋体" w:eastAsia="宋体" w:cs="宋体"/>
                <w:color w:val="000000"/>
                <w:sz w:val="20"/>
                <w:szCs w:val="20"/>
                <w:b/>
                <w:bCs/>
              </w:rPr>
              <w:t xml:space="preserve">预订须知</w:t>
            </w:r>
          </w:p>
        </w:tc>
        <w:tc>
          <w:tcPr>
            <w:tcW w:w="8200" w:type="dxa"/>
          </w:tcPr>
          <w:p>
            <w:pPr>
              <w:pStyle w:val="indent"/>
            </w:pPr>
            <w:r>
              <w:rPr>
                <w:rFonts w:ascii="宋体" w:hAnsi="宋体" w:eastAsia="宋体" w:cs="宋体"/>
                <w:color w:val="000000"/>
                <w:sz w:val="20"/>
                <w:szCs w:val="20"/>
              </w:rPr>
              <w:t xml:space="preserve">
                1、此团30 人成团，为保证游客可如期出发，我社将与其他旅行社共同组团（拼团出发），如客人不接受拼团出发，请报名时以书面形式注明。如报名人数不足30 成人时无法成团，或遇特殊情况（如：当地天气原因或游客临时退团造成不成团等）致使团队无法按期出行，我社提前2 天通知游客，游客可根据自身情况改线或改期，如不能更改出游计划，我社将全额退还已交团费。
                <w:br/>
                <w:br/>
                2、我社将按实际人数安排合适车型，按照本团客人的报名先后顺序统一安排坐车座位，如车上有老弱妇孺需要照顾的，请客人自觉礼让，如有疑问请与导游协商，车牌号及陪同联系方式将在出行前一天20：00点前以短信形式通知，敬请留意，如您在出行前一天20：00尚未收到短信，请速来电咨询。请客人准时到达出团集合地点，过时不候；
                <w:br/>
                <w:br/>
                3、根据《旅游法》相关规定，如遇不可抗力因素（如天气、堵车、地质灾害、政府行为等）原因，造成行程（如延误、不能完成游览、缩短游览时间、当地滞留等）不视旅行社违约，旅行社尽力协助客人采取相应的措施，为此而增加的食宿、导服等费用，均由旅游者承担，未产生的费用导游根据实际退还给游客，敬请知悉！
                <w:br/>
                <w:br/>
                4、若因客人自身原因（含感冒等原因，导致身体不适合继续行程）中途离团或放弃游览景点（含赠送项目）的，我社视客人自动放弃行程，不退任何费用；
                <w:br/>
                <w:br/>
                5、客人擅自强行离团或不参加行程内的某项团队活动时（含酒店、用餐、景点等），请游客注意人身及财产安全，离团期间发生类似情况，一切费用、责任自行承担；
                <w:br/>
                <w:br/>
                6、旅游者参加属于高风险性游乐项目的，请旅游者务必在参加前充分了解项目的安全须知，并确保身体状况能适应此类活动；如旅游者不具备较好的身体条件及技能，可能会造成身体伤害。在参加此类活动时应当购买相应的个人意外保险，如非旅行社责任造成的旅游者意外伤害，旅行社不承担相应的赔偿责任；
                <w:br/>
                <w:br/>
                7、70-75周岁以上长者须签署免责协议书，由于服务条件所限，无法接待75周岁以上长者，不便之处敬请谅解！
                <w:br/>
                <w:br/>
                8、游客报名时，请确保自身身体健康，是否适合参团出游，郑重申明我社不接受孕妇报名，若参团者有特殊病史（如间歇性精神病、心脏病和有暴露倾向等精神疾病等），在报名时故意或刻意隐瞒，出游过程中如出现任何问题与责任，均与旅行社、全陪、领队、导游无关，产生的任何费用均由当事人自行承担；
                <w:br/>
                <w:br/>
                9、18岁以下未成年人如没有成人陪同参团，必须有法定监护人签定同意书，并由18岁以上成人陪同方可参团；
                <w:br/>
                <w:br/>
                10、我社解决投诉依据客人在当地所签“意见单”为准，有任何投诉请于当时提出，否则无法给予处理；
                <w:br/>
                <w:br/>
                <w:br/>
                本人已认真阅读以上行程内容
                <w:br/>
                <w:br/>
                客人确认签名：
              </w:t>
            </w:r>
          </w:p>
        </w:tc>
      </w:tr>
      <w:tr>
        <w:trPr/>
        <w:tc>
          <w:tcPr>
            <w:tcW w:w="2300" w:type="dxa"/>
            <w:vAlign w:val="center"/>
            <w:shd w:val="clear" w:fill="efefef"/>
          </w:tcPr>
          <w:p>
            <w:pPr>
              <w:pStyle w:val="center"/>
            </w:pPr>
            <w:r>
              <w:rPr>
                <w:rFonts w:ascii="宋体" w:hAnsi="宋体" w:eastAsia="宋体" w:cs="宋体"/>
                <w:color w:val="000000"/>
                <w:sz w:val="20"/>
                <w:szCs w:val="20"/>
                <w:b/>
                <w:bCs/>
              </w:rPr>
              <w:t xml:space="preserve">温馨提示</w:t>
            </w:r>
          </w:p>
        </w:tc>
        <w:tc>
          <w:tcPr>
            <w:tcW w:w="8200" w:type="dxa"/>
          </w:tcPr>
          <w:p>
            <w:pPr>
              <w:pStyle w:val="indent"/>
            </w:pPr>
            <w:r>
              <w:rPr>
                <w:rFonts w:ascii="宋体" w:hAnsi="宋体" w:eastAsia="宋体" w:cs="宋体"/>
                <w:color w:val="000000"/>
                <w:sz w:val="20"/>
                <w:szCs w:val="20"/>
              </w:rPr>
              <w:t xml:space="preserve">
                1、“安全第一”，在旅行过程中，大家必须十分重视安全问题，出团前带好相关证件，保存好与亲人朋友、导游的联系方式。 
                <w:br/>
                2、参加团队旅游，必须听从领队或导游的指挥安排，不可随意活动，禁止擅自脱队。行程中特别是在山地、天雨路滑时，请大家做到走路不看景，看景不走路。 
                <w:br/>
                3、入住酒店后，应了解酒店安全须知，保管好房卡，在酒店大堂、餐厅、卫生间时，注意不要滑倒。入住后不要单独外出行走。 
                <w:br/>
                4、请大家注意食品及餐具的卫生，不应吃不洁和生冷食品。在旅行社安排的餐饮之外自行购买或食用食物引起的疾病，旅行社不承担任何责任。 
                <w:br/>
                5、注意财物安全，旅行中携带物要少而精，必要的物品要带齐，现金与贵重物品须贴身携放保管（特别是手机与钱包）。 
                <w:br/>
                6、旅游者在旅游活动中应当遵守社会公共秩序和社会公德，应当注意的旅游目的地相关法律、法规及宗教禁忌，遵守当地的风俗习惯、文化传统和宗教信仰。同时旅游者应当明确，如涉及的活动为中国法律所禁止的，无论旅游目的国家、地区是否合法或允许，旅游者都不应参加活动，包括： 
                <w:br/>
                （一）含有损害国家利益和民族尊严内容的。 
                <w:br/>
                （二）含有民族、种族、宗教歧视内容的。 
                <w:br/>
                （三）含有淫秽、赌博、涉毒内容的。 
                <w:br/>
                （四）其他含有违反法律、法规规定内容的。 
                <w:br/>
                如旅游者未能遵守中国法律实施上述行为而导致旅游者需要承担相关行政或刑事责任的，与旅行社无关，由旅游自行者承担。
              </w:t>
            </w:r>
          </w:p>
        </w:tc>
      </w:tr>
      <w:tr>
        <w:trPr/>
        <w:tc>
          <w:tcPr>
            <w:tcW w:w="2300" w:type="dxa"/>
            <w:vAlign w:val="center"/>
            <w:shd w:val="clear" w:fill="efefef"/>
          </w:tcPr>
          <w:p>
            <w:pPr>
              <w:pStyle w:val="center"/>
            </w:pPr>
            <w:r>
              <w:rPr>
                <w:rFonts w:ascii="宋体" w:hAnsi="宋体" w:eastAsia="宋体" w:cs="宋体"/>
                <w:color w:val="000000"/>
                <w:sz w:val="20"/>
                <w:szCs w:val="20"/>
                <w:b/>
                <w:bCs/>
              </w:rPr>
              <w:t xml:space="preserve">报名材料</w:t>
            </w:r>
          </w:p>
        </w:tc>
        <w:tc>
          <w:tcPr>
            <w:tcW w:w="8200" w:type="dxa"/>
          </w:tcPr>
          <w:p>
            <w:pPr>
              <w:pStyle w:val="indent"/>
            </w:pPr>
            <w:r>
              <w:rPr>
                <w:rFonts w:ascii="宋体" w:hAnsi="宋体" w:eastAsia="宋体" w:cs="宋体"/>
                <w:color w:val="000000"/>
                <w:sz w:val="20"/>
                <w:szCs w:val="20"/>
              </w:rPr>
              <w:t xml:space="preserve">
                本线路仅限75周岁以下游客报名。
                <w:br/>
                65-75周岁长者，需由65周岁以下家属陪同参团，均应身体健康并如实陈述身体状况，并应加签免责协议。
                <w:br/>
                75周岁以上不便接待，敬请谅解！（以出生年月日为计算基准）
              </w:t>
            </w:r>
          </w:p>
        </w:tc>
      </w:tr>
    </w:tbl>
    <w:sectPr>
      <w:footerReference w:type="default" r:id="rId8"/>
      <w:pgSz w:orient="portrait" w:w="11905.511811023622" w:h="16837.79527559055"/>
      <w:pgMar w:top="700" w:right="700" w:bottom="700" w:left="700" w:header="720" w:footer="20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
      <w:rPr>
        <w:rFonts w:ascii="宋体" w:hAnsi="宋体" w:eastAsia="宋体" w:cs="宋体"/>
        <w:color w:val="666666"/>
        <w:sz w:val="22"/>
        <w:szCs w:val="22"/>
      </w:rPr>
      <w:t xml:space="preserve">http://erp.cncn.net                                                       打印日期：2026-11-08</w:t>
    </w:r>
  </w:p>
</w:ft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宋体" w:hAnsi="宋体" w:eastAsia="宋体" w:cs="宋体"/>
        <w:sz w:val="20"/>
        <w:szCs w:val="20"/>
        <w:lang w:val="en-US"/>
      </w:rPr>
    </w:rPrDefault>
  </w:docDefaults>
  <w:style w:type="paragraph" w:default="1" w:styleId="Normal">
    <w:name w:val="Normal"/>
  </w:style>
  <w:style w:type="character" w:styleId="FootnoteReference">
    <w:name w:val="Footnote Reference"/>
    <w:semiHidden/>
    <w:unhideWhenUsed/>
    <w:rPr>
      <w:vertAlign w:val="superscript"/>
    </w:rPr>
  </w:style>
  <w:style w:type="paragraph" w:customStyle="1" w:styleId="pStyle">
    <w:name w:val="pStyle"/>
    <w:basedOn w:val="Normal"/>
    <w:pPr>
      <w:jc w:val="center"/>
      <w:spacing w:before="100" w:after="100"/>
    </w:pPr>
  </w:style>
  <w:style w:type="paragraph" w:customStyle="1" w:styleId="center">
    <w:name w:val="center"/>
    <w:basedOn w:val="Normal"/>
    <w:pPr>
      <w:jc w:val="center"/>
    </w:pPr>
  </w:style>
  <w:style w:type="paragraph" w:customStyle="1" w:styleId="indent">
    <w:name w:val="indent"/>
    <w:basedOn w:val="Normal"/>
    <w:pPr>
      <w:ind w:left="72" w:right="0"/>
    </w:pPr>
  </w:style>
  <w:style w:type="paragraph" w:customStyle="1" w:styleId="right">
    <w:name w:val="right"/>
    <w:basedOn w:val="Normal"/>
    <w:pPr>
      <w:jc w:val="right"/>
      <w:ind w:left="0" w:right="50"/>
    </w:pPr>
  </w:style>
  <w:style w:type="table" w:customStyle="1" w:styleId="myOwnTableStyle">
    <w:name w:val="myOwnTableStyle"/>
    <w:uiPriority w:val="99"/>
    <w:tblPr>
      <w:jc w:val="center"/>
      <w:tblW w:w="0" w:type="auto"/>
      <w:tblCellMar>
        <w:top w:w="0" w:type="dxa"/>
        <w:left w:w="0" w:type="dxa"/>
        <w:right w:w="0" w:type="dxa"/>
        <w:bottom w:w="0" w:type="dxa"/>
      </w:tblCellMar>
      <w:tblBorders>
        <w:top w:val="single" w:sz="6" w:color="000"/>
        <w:left w:val="single" w:sz="6" w:color="000"/>
        <w:right w:val="single" w:sz="6" w:color="000"/>
        <w:bottom w:val="single" w:sz="6" w:color="000"/>
        <w:insideH w:val="single" w:sz="6" w:color="000"/>
        <w:insideV w:val="single" w:sz="6" w:color="000"/>
      </w:tblBorders>
    </w:tblPr>
    <w:tblStylePr w:type="firstRow">
      <w:tcPr>
        <w:tblBorders>
          <w:bottom w:val="single" w:sz="0" w:color="000"/>
        </w:tblBorders>
      </w:tcPr>
    </w:tblStylePr>
  </w:style>
  <w:style w:type="table" w:customStyle="1" w:styleId="travel">
    <w:name w:val="travel"/>
    <w:uiPriority w:val="99"/>
    <w:tblPr>
      <w:jc w:val="center"/>
      <w:tblW w:w="0" w:type="auto"/>
      <w:tblCellMar>
        <w:top w:w="0" w:type="dxa"/>
        <w:left w:w="0" w:type="dxa"/>
        <w:right w:w="0" w:type="dxa"/>
        <w:bottom w:w="0" w:type="dxa"/>
      </w:tblCellMar>
      <w:tblBorders>
        <w:top w:val="single" w:sz="6" w:color="000"/>
        <w:left w:val="single" w:sz="6" w:color="000"/>
        <w:right w:val="single" w:sz="6" w:color="000"/>
        <w:bottom w:val="single" w:sz="6" w:color="000"/>
        <w:insideH w:val="single" w:sz="6" w:color="000"/>
        <w:insideV w:val="single" w:sz="6" w:color="000"/>
      </w:tblBorders>
    </w:tblPr>
    <w:tblStylePr w:type="firstRow">
      <w:tcPr>
        <w:tblBorders>
          <w:bottom w:val="single" w:sz="0" w:color="000"/>
        </w:tblBorders>
      </w:tcPr>
    </w:tblStylePr>
  </w:style>
  <w:style w:type="table" w:customStyle="1" w:styleId="lineSchedulings">
    <w:name w:val="lineSchedulings"/>
    <w:uiPriority w:val="99"/>
    <w:tblPr>
      <w:jc w:val="center"/>
      <w:tblW w:w="0" w:type="auto"/>
      <w:tblCellMar>
        <w:top w:w="0" w:type="dxa"/>
        <w:left w:w="0" w:type="dxa"/>
        <w:right w:w="0" w:type="dxa"/>
        <w:bottom w:w="0" w:type="dxa"/>
      </w:tblCellMar>
      <w:tblBorders>
        <w:top w:val="single" w:sz="6" w:color="000"/>
        <w:left w:val="single" w:sz="6" w:color="000"/>
        <w:right w:val="single" w:sz="6" w:color="000"/>
        <w:bottom w:val="single" w:sz="6" w:color="000"/>
        <w:insideH w:val="single" w:sz="6" w:color="000"/>
        <w:insideV w:val="single" w:sz="6" w:color="000"/>
      </w:tblBorders>
    </w:tblPr>
    <w:tblStylePr w:type="firstRow">
      <w:tcPr>
        <w:tblBorders>
          <w:bottom w:val="single" w:sz="0" w:color="000"/>
        </w:tblBorders>
      </w:tcPr>
    </w:tblStylePr>
  </w:style>
  <w:style w:type="table" w:customStyle="1" w:styleId="lineCost">
    <w:name w:val="lineCost"/>
    <w:uiPriority w:val="99"/>
    <w:tblPr>
      <w:jc w:val="center"/>
      <w:tblW w:w="0" w:type="auto"/>
      <w:tblCellMar>
        <w:top w:w="0" w:type="dxa"/>
        <w:left w:w="0" w:type="dxa"/>
        <w:right w:w="0" w:type="dxa"/>
        <w:bottom w:w="0" w:type="dxa"/>
      </w:tblCellMar>
      <w:tblBorders>
        <w:top w:val="single" w:sz="6" w:color="000"/>
        <w:left w:val="single" w:sz="6" w:color="000"/>
        <w:right w:val="single" w:sz="6" w:color="000"/>
        <w:bottom w:val="single" w:sz="6" w:color="000"/>
        <w:insideH w:val="single" w:sz="6" w:color="000"/>
        <w:insideV w:val="single" w:sz="6" w:color="000"/>
      </w:tblBorders>
    </w:tblPr>
    <w:tblStylePr w:type="firstRow">
      <w:tcPr>
        <w:tblBorders>
          <w:bottom w:val="single" w:sz="0" w:color="000"/>
        </w:tblBorders>
      </w:tcPr>
    </w:tblStylePr>
  </w:style>
  <w:style w:type="table" w:customStyle="1" w:styleId="remark">
    <w:name w:val="remark"/>
    <w:uiPriority w:val="99"/>
    <w:tblPr>
      <w:jc w:val="center"/>
      <w:tblW w:w="0" w:type="auto"/>
      <w:tblCellMar>
        <w:top w:w="0" w:type="dxa"/>
        <w:left w:w="0" w:type="dxa"/>
        <w:right w:w="0" w:type="dxa"/>
        <w:bottom w:w="0" w:type="dxa"/>
      </w:tblCellMar>
      <w:tblBorders>
        <w:top w:val="single" w:sz="6" w:color="000"/>
        <w:left w:val="single" w:sz="6" w:color="000"/>
        <w:right w:val="single" w:sz="6" w:color="000"/>
        <w:bottom w:val="single" w:sz="6" w:color="000"/>
        <w:insideH w:val="single" w:sz="6" w:color="000"/>
        <w:insideV w:val="single" w:sz="6" w:color="000"/>
      </w:tblBorders>
    </w:tblPr>
    <w:tblStylePr w:type="firstRow">
      <w:tcPr>
        <w:tblBorders>
          <w:bottom w:val="single" w:sz="0" w:color="000"/>
        </w:tblBorders>
      </w:tcPr>
    </w:tblStyle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image" Target="media/section_image1.jpg"/><Relationship Id="rId8"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2026-11-08T04:02:05+08:00</dcterms:created>
  <dcterms:modified xsi:type="dcterms:W3CDTF">2026-11-08T04:02:05+08:00</dcterms:modified>
</cp:coreProperties>
</file>

<file path=docProps/custom.xml><?xml version="1.0" encoding="utf-8"?>
<Properties xmlns="http://schemas.openxmlformats.org/officeDocument/2006/custom-properties" xmlns:vt="http://schemas.openxmlformats.org/officeDocument/2006/docPropsVTypes"/>
</file>