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（1）单房差补600元/人，退房差350元/人
                <w:br/>
                （2）参考酒店宜昌君鼎智尚，凯莎国际，夷陵华美达或同级；恩施女儿楼、土家客栈、纽宾凯智能酒店、漫希或同级；宣恩新欣、澜庭、源达或同级；恩施华盛凯月、M酒店、乐悠、季枫或同级；高坪阳烁智能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7、未含景区交通220元/人：屏山大峡谷船票及景交80+恩施大峡谷地面缆车及景交50+地心谷30+狮子关30+梭布垭30；合计220元/人（1.2米及以上儿童同价）报名时收取或者当地现付导游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未含景区交通220元/人：屏山大峡谷船票及景交80+恩施大峡谷地面缆车及景交50+地心谷30+狮子关30+梭布垭30；合计220元/人（1.2米及以上儿童同价）报名时收取或者当地现付导游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2026-06-13T04:12:57+08:00</dcterms:created>
  <dcterms:modified xsi:type="dcterms:W3CDTF">2026-06-13T04:12:57+08:00</dcterms:modified>
</cp:coreProperties>
</file>

<file path=docProps/custom.xml><?xml version="1.0" encoding="utf-8"?>
<Properties xmlns="http://schemas.openxmlformats.org/officeDocument/2006/custom-properties" xmlns:vt="http://schemas.openxmlformats.org/officeDocument/2006/docPropsVTypes"/>
</file>