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参考航班：HU7931/02:50-17:50
                <w:br/>
                奥克兰-深圳       参考航班：HU7932/20:45-05:00+1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【蒂卡波雪圈乐园】：一边坐雪圈俯冲，一边直面蒂卡普湖 + 南阿尔卑斯雪山，刺激又安全；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2026-05-11T20:28:55+08:00</dcterms:created>
  <dcterms:modified xsi:type="dcterms:W3CDTF">2026-05-11T20:28:55+08:00</dcterms:modified>
</cp:coreProperties>
</file>

<file path=docProps/custom.xml><?xml version="1.0" encoding="utf-8"?>
<Properties xmlns="http://schemas.openxmlformats.org/officeDocument/2006/custom-properties" xmlns:vt="http://schemas.openxmlformats.org/officeDocument/2006/docPropsVTypes"/>
</file>