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【伊路疆南•穿越独库】新疆库进乌出双飞8天｜乌鲁木齐|赛里木湖|那拉提草原|天山花海|天山天池|库尔勒|罗布人村寨|库车龟兹小巷|天山神秘大峡谷|巴音布鲁克大草原|独库公路行程单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季节限定公路：穿越独库公路，精选独库中段，被认为是整条独库公路的精华和颜值担当！
                <w:br/>
                避开北段人潮汹涌，反穿独库南段，色彩反差跳脱大，不要错过！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2、住宿：2晚豪华四钻酒店住宿+2晚网评精品舒适3钻+2晚特色民宿住宿，单人需要补房差。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驼绒馆：西域之花/棉花工厂店【棉制品/驼绒】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2026-04-29T21:52:36+08:00</dcterms:created>
  <dcterms:modified xsi:type="dcterms:W3CDTF">2026-04-29T21:52:36+08:00</dcterms:modified>
</cp:coreProperties>
</file>

<file path=docProps/custom.xml><?xml version="1.0" encoding="utf-8"?>
<Properties xmlns="http://schemas.openxmlformats.org/officeDocument/2006/custom-properties" xmlns:vt="http://schemas.openxmlformats.org/officeDocument/2006/docPropsVTypes"/>
</file>