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2.全程单房差2200人民币/人
                <w:br/>
                3.行程表以外行程费用
                <w:br/>
                4.行李物品的搬运费、保管费及超重费
                <w:br/>
                5.一切个人消费（如：电话、传真、电视付费频道、洗衣、饮料等）
                <w:br/>
                6.因违约、自身过错或自身疾病引起的人身和财产损失
                <w:br/>
                7.非我社所能控制因素下引起的额外费用，如：自然灾害、罢工、境外当地政策或民俗禁忌、景点维修等；
                <w:br/>
                8.游客人身意外保险
                <w:br/>
                9.客人往返出境口岸的一切费用
                <w:br/>
                10.境外司机导游服务费：220美金/人（机场现付给领队）
                <w:br/>
                11、12岁以下小童不占床减800元/人，占床与成人同价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2026-07-17T12:11:27+08:00</dcterms:created>
  <dcterms:modified xsi:type="dcterms:W3CDTF">2026-07-17T12:11:27+08:00</dcterms:modified>
</cp:coreProperties>
</file>

<file path=docProps/custom.xml><?xml version="1.0" encoding="utf-8"?>
<Properties xmlns="http://schemas.openxmlformats.org/officeDocument/2006/custom-properties" xmlns:vt="http://schemas.openxmlformats.org/officeDocument/2006/docPropsVTypes"/>
</file>