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【经典全景游A线】湖南张家界凤凰双高5天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张家界国家森林公园（天子山/袁家界/金鞭溪） · 玉皇石窟 ·《张家界千古情》表演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（3）赠送项目：韶山环保车；森林公园环保车及百龙天梯单程；矮寨大桥接驳车及悬崖栈道；凤凰古城接驳车；宝峰湖环保车及游船；土司城；《张家界千古情》表演（注：赠送项目，不去不退任何费用）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（5）酒店住宿：全程舒适型酒店（本行程酒店无三人间或加床服务，如遇单人情况，请您补足房差，补房差：550 ，退房差：300 ，谢谢配合！）
                <w:br/>
                长沙参考酒店：兰亭湾畔、荟鑫、橄榄叶、维也纳、安雅酒店，滴滴酒店， 金豪国际、霆曦、逸欣雅悦、橙果、星辰隐奢露台花园酒店或同级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2026-04-20T21:39:49+08:00</dcterms:created>
  <dcterms:modified xsi:type="dcterms:W3CDTF">2026-04-20T21:39:49+08:00</dcterms:modified>
</cp:coreProperties>
</file>

<file path=docProps/custom.xml><?xml version="1.0" encoding="utf-8"?>
<Properties xmlns="http://schemas.openxmlformats.org/officeDocument/2006/custom-properties" xmlns:vt="http://schemas.openxmlformats.org/officeDocument/2006/docPropsVTypes"/>
</file>