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（五一）【春染神农架】湖北双高4天丨洞庭湖丨汴河街丨三峡大瀑布丨三峡大坝丨最美水上公路丨官门山丨神农坛丨天生桥丨神农顶丨纯玩行程单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JSJ-HB202605-CRSNJS4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后乘车前往宜昌（车程约3小时）。晚餐后推荐自费【长江夜游】三峡游船（自愿自费180元/人），乘船在宜昌伍家岗水域调头上行，沿途欣赏依山傍水的美丽宜昌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三峡大坝，宜昌-岳阳，岳阳东-广州南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或三钻酒店（标准双人间，每成人每晚一个床位；行程所列酒店如因节假日房间爆满或政策原因酒店被征用等特殊原因无法安排，我社将换用同等级别酒店，但不赔偿任何损失）请自备一次性用品；
                <w:br/>
                （1）单房差补550元/人，退房差350元/人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①三峡夜游船及车导综费180元/人。
                <w:br/>
                ②三峡大坝电瓶车10元/人。
                <w:br/>
                ③三峡大瀑布景区电瓶车20元/人。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①长江夜游三峡游船及车导综费180元/人。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2026-04-12T03:21:03+08:00</dcterms:created>
  <dcterms:modified xsi:type="dcterms:W3CDTF">2026-04-12T03:21:03+08:00</dcterms:modified>
</cp:coreProperties>
</file>

<file path=docProps/custom.xml><?xml version="1.0" encoding="utf-8"?>
<Properties xmlns="http://schemas.openxmlformats.org/officeDocument/2006/custom-properties" xmlns:vt="http://schemas.openxmlformats.org/officeDocument/2006/docPropsVTypes"/>
</file>