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【明星玩家】澳大利亚新西兰南北岛15天全景环线之旅A/墨尔本/悉尼/布里斯本/黄金海岸/皇后镇/蒂卡波/瓦纳卡/基督城/罗托鲁亚/奥克兰（南航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奥克兰-/-广州    参考航班:CZ306/2120-0525+1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 库克山 – 瓦纳卡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早餐：酒店内     午餐：√     晚餐：牛羊火锅   </w:t>
            </w:r>
          </w:p>
        </w:tc>
        <w:tc>
          <w:tcPr/>
          <w:p>
            <w:pPr>
              <w:pStyle w:val="indent"/>
            </w:pPr>
            <w:r>
              <w:rPr>
                <w:rFonts w:ascii="宋体" w:hAnsi="宋体" w:eastAsia="宋体" w:cs="宋体"/>
                <w:color w:val="000000"/>
                <w:sz w:val="20"/>
                <w:szCs w:val="20"/>
              </w:rPr>
              <w:t xml:space="preserve">皇后镇：Holiday Inn Queenstownl或同级豪华酒店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2026-03-24T08:06:23+08:00</dcterms:created>
  <dcterms:modified xsi:type="dcterms:W3CDTF">2026-03-24T08:06:23+08:00</dcterms:modified>
</cp:coreProperties>
</file>

<file path=docProps/custom.xml><?xml version="1.0" encoding="utf-8"?>
<Properties xmlns="http://schemas.openxmlformats.org/officeDocument/2006/custom-properties" xmlns:vt="http://schemas.openxmlformats.org/officeDocument/2006/docPropsVTypes"/>
</file>