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【百里杜鹃•安纳塔拉】 广西贵州双动4天|   地球彩带•毕节百里杜鹃|世界第一高桥▪花江峡谷大桥|中国最美侗寨•肇兴侗寨|花溪夜郎谷|万达丹寨小镇|泛舟清水江行程单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w:br/>
                一次旅行顶三次！打卡百里杜鹃+花江大桥+安纳塔拉！
                <w:br/>
                ★畅游享有“地球彩带、杜鹃王国”之美誉--【毕节百里杜鹃】！
                <w:br/>
                重磅3晚国际品牌酒店！入住贵州奢华酒店天花板！
                <w:br/>
                ——全球著名五星级度假村【安纳塔拉】
                <w:br/>
                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 +清水江游船费用）+车导综合服务费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（报名参加此行程即表示认可本必消套餐，相关项目不用不退费，敬请注意。如因政府修建工程等不可抗力因素清水江游船暂停运营则变更安排丹寨小镇往返摆渡船观光，敬请注意）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2026-03-24T18:08:50+08:00</dcterms:created>
  <dcterms:modified xsi:type="dcterms:W3CDTF">2026-03-24T18:08:50+08:00</dcterms:modified>
</cp:coreProperties>
</file>

<file path=docProps/custom.xml><?xml version="1.0" encoding="utf-8"?>
<Properties xmlns="http://schemas.openxmlformats.org/officeDocument/2006/custom-properties" xmlns:vt="http://schemas.openxmlformats.org/officeDocument/2006/docPropsVTypes"/>
</file>