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景点：壶口瀑布、南泥湾景区
                <w:br/>
                自费项：壶口瀑布观光车40元/人自理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30座旅游车：14-24人安排30座正规旅游用车
                <w:br/>
                19座旅游车：8-13人安排19座正规旅游用车
                <w:br/>
                如8人以下，我社会根据人数安排车型，保证每人1正座，以实际安排为准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65周岁以下现补门票：
                <w:br/>
                60周岁以下现补：239元/人（壶口75+兵马俑120+城墙44）      
                <w:br/>
                60周岁-65周岁现补：164元/人（兵马俑120+城墙44）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8、如产生景区保险费用等需要自理 ，65周岁以下需现补门票：
                <w:br/>
                60周岁以下现补：239元/人（壶口75+兵马俑120+城墙44）      
                <w:br/>
                60周岁-65周岁现补：164元/人（兵马俑120+城墙44）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2026-02-14T20:07:57+08:00</dcterms:created>
  <dcterms:modified xsi:type="dcterms:W3CDTF">2026-02-14T20:07:57+08:00</dcterms:modified>
</cp:coreProperties>
</file>

<file path=docProps/custom.xml><?xml version="1.0" encoding="utf-8"?>
<Properties xmlns="http://schemas.openxmlformats.org/officeDocument/2006/custom-properties" xmlns:vt="http://schemas.openxmlformats.org/officeDocument/2006/docPropsVTypes"/>
</file>