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【广东香格里拉】惠州2天|大亚湾霞涌海鲜街|清泉古寺|黄金海岸线行程单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【广东香格里拉】惠州2天|大亚湾霞涌海鲜街|清泉古寺|黄金海岸线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YW1769065866fW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7：00番禺广场地铁E口（10人起接）
                <w:br/>
                8:00越秀公园
                <w:br/>
                8:45黄埔知识城门店
                <w:br/>
                <w:br/>
                温馨提示：如果出发前一天晚上没有收到导游通知，游客需要联系旅行社工作人员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〖食〗（食2正1早1下午茶）豪华自助晚餐+大亚湾风味午餐+下午茶龟苓膏/豆腐花，次日酒店自助早；
                <w:br/>
                〖游〗大亚湾霞涌海鲜街、黄金海岸线、单车骑行、清泉古寺；
                <w:br/>
                〖住〗碧桂园·润杨溪谷温泉酒店公寓花园酒店客房；
                <w:br/>
                〖泡〗117个露天泡池、泳池畅游、水上乐园；
                <w:br/>
                〖行〗漫步水杉湿地公园绿道、东南亚风情街；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广州—亚湾黄金海岸（清泉古寺）霞涌海鲜街—下午茶—润杨溪谷温泉度假村----除夕自助晚餐
                <w:br/>
                早上指定时间、地点集中，乘坐旅游车前往【大亚湾旅游区】（车程约2.5小时），到达后午餐，前往【清泉古寺】游览约40分钟（视当日路况，用餐或走景点，先后顺序导游灵活安排为准）。著名沙滩【黄金海岸】（停留时间充足约下午4点），漫步沙滩，自由嬉戏。【黄金海岸】位于风光美丽的霞涌办事处内，这里沙滩平缓，沙质洁白，水质清澈，中间夹一弯银色月牙状沙滩，两边各是一条蜿蜒数里的绿色防护带，宛如莲花仙子广舒云袖。南临茫茫人海，碧水共长天一色；西望百岛丽影，群鸟与落霞齐飞；东观巽寮日出，云蒸霞蔚；北依铁炉山峰，层峦叠嶂，山光水色尽收眼底。（黄金海岸沙滩，有更衣室、冲凉房，费用由客人自理）。【碧桂园·润杨溪谷温泉酒店】，【碧桂园润杨溪谷温泉】四季温泉休闲养生，适合各类人群，怡养身心效果上佳。这里拥有117个温泉泡池，错落有致地隐映于溪谷秘境中，走在这里仿佛进入了犹如香格里拉的仙境。溪谷拥有丰富温泉生态资源，三大温泉区域群立于仙境般的园林之中，117个温泉泡池错落有致地隐映于溪谷秘境中，曲径通幽，走在这里仿佛进入了香格里拉的仙境。这里的温泉水是罕有的自然温泉，素有“人体清道夫”的美誉，怡养身心效果显著，适合不同季候、不同年龄层浸泡。除了温泉泡池，这里还有游泳池、水上乐园和滑梯等戏水场所，温泉泳池夏天注入山泉水，冬天注入温泉水，让您一年四季都可充分享受亲水的乐趣，酒店有开放【壕叹海鲜自助晚餐，此行程不含】注意：酒店满40人开放，如不满40人则安排围餐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午餐：大亚湾海边风味餐+下午茶     晚餐：酒店海鲜自助晚餐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早餐后-润杨溪谷温泉度假村—水杉湿地公园—东南亚风情街—午餐自理—返程
                <w:br/>
                早餐后，11点30分前退房，午餐自理。
                <w:br/>
                <w:br/>
                结束愉快的行程，返回广州温馨的家。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1、住宿：成人费用只含每人每天一个床位，出现单人务必 补价房差，不能减去房差，不能放弃床位，不安排加床；
                <w:br/>
                2、用餐：含 2 正 1 早 1 下午茶（自助晚餐，当日午餐 10 人/围，不足人数需补餐差，下午茶/份）
                <w:br/>
                3、交通：全程选用 33-53 座空调旅游车，根据实际人数安排车辆，保证一人一个正座；
                <w:br/>
                4、门票：凭酒店房卡享受无限次温泉【公共设施如：造浪池、泳池、高空滑梯、水乐园等增送项目不开放，不提前通知，不退任何费用】
                <w:br/>
                5、车位：169 元/人【出现单人或婴儿 1.2 米以下，如单人不想补房差的客人，就建议只购买车位，去到产生费用自理】
                <w:br/>
                6、小孩：399 元/人，含旅游车往返，不占床位，含餐，半票温泉 1 次（1.2-1.5 米），超高需要客人自行补差价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行程中一切个人消费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1.注：我社根据出行的实际情况调整行程，但不影响原标准和游览景点。具体的行程游览顺序将以我社出发前给予的行程为准。若无特殊要求，客人表示已清楚旅行社以上安排，同意并接受旅行社安排。。
                <w:br/>
                2基于旅游体验的特殊性，若客人在行程中对任何旅游服务质量存有异议，请立即向销售顾问提出，以便旅行社能及时核查及采取补救措施，若客人没有及时提出或擅自解决而导致旅行社错过补救解决机会的，由此产生的扩大损失由客人自行承担。
                <w:br/>
                3.因游客违约、自身过错、自身疾病导致的人身财产损失而额外支付的费用。
                <w:br/>
                4.散客拼团存在因车次不同，导致先后抵达目的地，先抵达的游客会稍等后面抵达的游客（30分钟以内）等其余客人到齐后统一安排或另外安排司机接团（送团不同车次的也有可能是司机送团）.
                <w:br/>
                5.本线路仅限80周岁以下游客报名。65-80周岁长者，需由65周岁以下家属陪同参团，均应身体健康并如实陈述身体状况，并应加签免责协议。80周岁以上不便接待，敬请谅解！（以出生年月日为计算基准）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打印日期：2026-02-11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2026-02-11T07:37:16+08:00</dcterms:created>
  <dcterms:modified xsi:type="dcterms:W3CDTF">2026-02-11T07:37:16+08:00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