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YM-ASLDX20251218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5、非遗过大年：丽江春节非遗民俗文化体验盛宴
                <w:br/>
                一，广东独立成团 · 保证玉龙雪山大索道 
                <w:br/>
                二，10成人铁发派全陪 · 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2025-12-24T02:16:41+08:00</dcterms:created>
  <dcterms:modified xsi:type="dcterms:W3CDTF">2025-12-24T02:16:41+08:00</dcterms:modified>
</cp:coreProperties>
</file>

<file path=docProps/custom.xml><?xml version="1.0" encoding="utf-8"?>
<Properties xmlns="http://schemas.openxmlformats.org/officeDocument/2006/custom-properties" xmlns:vt="http://schemas.openxmlformats.org/officeDocument/2006/docPropsVTypes"/>
</file>