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【我带娃儿逛京城】北京一地双飞6天｜参观军博或首博｜圆梦清华｜享誉盛名好杂技｜升旗仪式｜探秘清宫史-故宫｜登长城送好汉证书｜恭王府花园｜玩转冰雪嘉年华行程单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去程参考航班时间：广州＼北京20：55-21：30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★入住锦江集团旗下中高端酒店：丽枫酒店或或同级、享用中西自助早餐
                <w:br/>
                车备品牌矿泉水、颁发“不到长城非好汉证书”。
                <w:br/>
                ★【中国最高政治殿堂-人民大会堂】“北京十大建筑”之一，中西合璧的经典地标。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★【前门胡同CITYWALK路线】京味烟火前门大街，两侧灰砖黛瓦的老字号店铺鳞次栉比。拐入紧邻前门的北京坊，打卡摩登文艺北京坊，传统胡同肌理里长出当代艺术空间。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交通：双飞/汽车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恭王府、前门胡同CITYWALK路线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北京—广州（飞机）
                <w:br/>
                上午：早餐后，结束北京五晚六天探索之旅！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2025-12-15T19:36:09+08:00</dcterms:created>
  <dcterms:modified xsi:type="dcterms:W3CDTF">2025-12-15T19:36:09+08:00</dcterms:modified>
</cp:coreProperties>
</file>

<file path=docProps/custom.xml><?xml version="1.0" encoding="utf-8"?>
<Properties xmlns="http://schemas.openxmlformats.org/officeDocument/2006/custom-properties" xmlns:vt="http://schemas.openxmlformats.org/officeDocument/2006/docPropsVTypes"/>
</file>