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特价劲爆】奥地利+斯洛伐克+匈牙利+捷克10天（海航深圳往返）|布达佩斯|维也纳双城连住|双世遗小镇（哈尔施塔特+克鲁姆洛夫）|渔人堡|美泉宫后花园|布拉迪斯发城堡行程单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EU202511181535HC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参考航班:
                <w:br/>
                HU761  深圳宝安国际机场 T3 - 布达佩斯李斯特•费伦茨国际机场 (BUD)   01:55/07:20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●【潘多夫奥特莱斯】（游览不少于2小时）,购物村为典型的布尔根兰地区风格的建筑，崭新设计的广场内有160余家来自世界各地的品牌，常年提供30%到70%的优惠，包括Armani, Adidas, Bally, Burberry, Gucci, Nike, Zegna等耳熟能详的品牌。除此之外，游客在这里还有机会参与购物中心举办的季节性娱乐活动。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-深圳宝安国际机场  10：00/04：00+1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1.ADS旅游签证费用以及全程司导服务费用（3000元/人需随团费一并结算）；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不含ADS旅游签证费用以及全程司导服务费用（3000元/人需随团费一并结算）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2025-11-19T23:44:07+08:00</dcterms:created>
  <dcterms:modified xsi:type="dcterms:W3CDTF">2025-11-19T23:44:07+08:00</dcterms:modified>
</cp:coreProperties>
</file>

<file path=docProps/custom.xml><?xml version="1.0" encoding="utf-8"?>
<Properties xmlns="http://schemas.openxmlformats.org/officeDocument/2006/custom-properties" xmlns:vt="http://schemas.openxmlformats.org/officeDocument/2006/docPropsVTypes"/>
</file>