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阿联酋6天|“5555”|四大酋长国|沙漠冲沙|(广州CZ)行程单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【温馨航空】南方航空广州直航往返迪拜，中文温馨服务，抵达即住酒店休息更舒适（可申请全国联运）
                <w:br/>
                【国际五星】特别升级1晚首都阿布扎比市区国际五星酒店+3晚迪拜市区国际五星酒店
                <w:br/>
                【美食体验】沙漠BBQ自助晚餐、阿拉伯自助餐、海鲜手抓饭、中式小火锅或中式团餐
                <w:br/>
                【购物乐趣】世界鼎级购物殿堂-迪拜购物中心，迪拜黄金市场和香料集市
                <w:br/>
                【品质首选】全程纯玩品质游，不进购物店，尽享真正旅途乐趣！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4晚五星）。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如若单人无法安排与同性团友入住，须补单房差共人民币2800元/人，随团款支付；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2025-12-18T02:14:51+08:00</dcterms:created>
  <dcterms:modified xsi:type="dcterms:W3CDTF">2025-12-18T02:14:51+08:00</dcterms:modified>
</cp:coreProperties>
</file>

<file path=docProps/custom.xml><?xml version="1.0" encoding="utf-8"?>
<Properties xmlns="http://schemas.openxmlformats.org/officeDocument/2006/custom-properties" xmlns:vt="http://schemas.openxmlformats.org/officeDocument/2006/docPropsVTypes"/>
</file>