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寒假春节【嗨玩哈亚雪】东北哈尔滨双飞6天∣俄式童话伏尔加庄园∣现实版“狗熊岭”·中国雪乡∣亚布力畅滑3小时∣亚雪公路∣哈尔滨City Walk全天自由活动∣东北卢浮宫·哈药六厂（首航）行程单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★豪华住宿：住进风景里，夜宿1晚童话雪乡+1晚俄式伏尔加庄园城堡酒店或哈尔滨三钻同级+连住2晚哈尔滨网评三钻酒店；
                <w:br/>
                ★地道美食：东北饺子宴、五谷丰登宴、特色杀猪菜、长白山珍宴、农家菜、粘豆包；
                <w:br/>
                ★优质航班：广州出发，往返直飞，无需早出晚归，方便舒适；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2025-12-23T22:20:46+08:00</dcterms:created>
  <dcterms:modified xsi:type="dcterms:W3CDTF">2025-12-23T22:20:46+08:00</dcterms:modified>
</cp:coreProperties>
</file>

<file path=docProps/custom.xml><?xml version="1.0" encoding="utf-8"?>
<Properties xmlns="http://schemas.openxmlformats.org/officeDocument/2006/custom-properties" xmlns:vt="http://schemas.openxmlformats.org/officeDocument/2006/docPropsVTypes"/>
</file>