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【十全十美Pro】小团-美国东西岸丨黄石公园丨纪念碑谷丨羚羊彩穴丨尼亚加拉大瀑布丨旧金山丨加州1号海滨公路丨深度纯玩17天行程单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大城市全升级国际豪华酒店
                <w:br/>
                9-19人精品小团
                <w:br/>
                全程0自费0购物纯玩团
                <w:br/>
                乘船近观尼亚加拉大瀑布
                <w:br/>
                吉普车深入大片诞生地纪念碑谷
                <w:br/>
                特别安排大都会博物馆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（酒店为赠送，不指定星级，不住费用不退）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周边小镇-纪念碑谷-马蹄湾-羚羊彩穴-佩吉周边小镇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行程所列景点第一门票（注：大都会艺术博物馆，乘船游览自由女神，不上岛；黄石国家公园；大提顿国家公园，瀑布游船、吉普车游纪念碑谷，科罗拉多大峡谷（南峡）；羚羊彩穴）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9350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注：12岁以下不占床小童减团费CNY3500 /人，占床小童按成人价收取。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2025-07-31T05:11:57+08:00</dcterms:created>
  <dcterms:modified xsi:type="dcterms:W3CDTF">2025-07-31T05:11:57+08:00</dcterms:modified>
</cp:coreProperties>
</file>

<file path=docProps/custom.xml><?xml version="1.0" encoding="utf-8"?>
<Properties xmlns="http://schemas.openxmlformats.org/officeDocument/2006/custom-properties" xmlns:vt="http://schemas.openxmlformats.org/officeDocument/2006/docPropsVTypes"/>
</file>