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【艇好玩】海南双飞纯玩4天游 | 升级版 | 海亚 天涯海角 | 南山文化苑 | 游艇出海 | 直升机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HNQ1748915730yi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★出行航班：指定南航-早对晚，海口进三亚出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海花岛灯光秀：惊艳众人！全球顶级文旅打卡圣地不容错过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★豪华赠送：128元/人直升机，体验最时尚、最流行、高逼格网红打卡项目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07: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交通：飞机/大巴
                <w:br/>
              </w:t>
            </w:r>
          </w:p>
        </w:tc>
        <w:tc>
          <w:tcPr/>
          <w:p>
            <w:pPr>
              <w:pStyle w:val="indent"/>
            </w:pPr>
            <w:r>
              <w:rPr>
                <w:rFonts w:ascii="宋体" w:hAnsi="宋体" w:eastAsia="宋体" w:cs="宋体"/>
                <w:color w:val="000000"/>
                <w:sz w:val="20"/>
                <w:szCs w:val="20"/>
              </w:rPr>
              <w:t xml:space="preserve">早餐：X     午餐：餐标30元/人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南山文化苑--天涯海角
                <w:br/>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玫瑰谷—游艇出海—直升机
                <w:br/>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w:br/>
                前往体验最时尚、最流行、高逼格网红打卡项目——赠送【豪华直升机低空飞行一公里】，（已赠送保险）让您360度上帝视角俯览三亚美景。 晚上自由活动。
                <w:br/>
                交通：大巴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三亚度假酒店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槟榔谷—西岛—三亚-广州
                <w:br/>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参考航班时段22:10,飞行时间约80分钟）结束愉快行程。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大人200元，小孩100元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海南海鲜餐</w:t>
            </w:r>
          </w:p>
        </w:tc>
        <w:tc>
          <w:tcPr/>
          <w:p>
            <w:pPr>
              <w:pStyle w:val="indent"/>
            </w:pPr>
            <w:r>
              <w:rPr>
                <w:rFonts w:ascii="宋体" w:hAnsi="宋体" w:eastAsia="宋体" w:cs="宋体"/>
                <w:color w:val="000000"/>
                <w:sz w:val="20"/>
                <w:szCs w:val="20"/>
              </w:rPr>
              <w:t xml:space="preserve">大人280元，小孩168元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大人280元，小孩130元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大人300元，小童250元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大人280元，小孩150元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2025-07-04T23:20:28+08:00</dcterms:created>
  <dcterms:modified xsi:type="dcterms:W3CDTF">2025-07-04T23:20:28+08:00</dcterms:modified>
</cp:coreProperties>
</file>

<file path=docProps/custom.xml><?xml version="1.0" encoding="utf-8"?>
<Properties xmlns="http://schemas.openxmlformats.org/officeDocument/2006/custom-properties" xmlns:vt="http://schemas.openxmlformats.org/officeDocument/2006/docPropsVTypes"/>
</file>