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酒店住宿：标准一：网评4钻参考酒店（补房差：550  退房差：280 ）
                <w:br/>
                第1晚长沙参考酒店：铜官窑瑞景酒店及景区客栈或同级
                <w:br/>
                第2/3晚张家界参考酒店：湘瑞阁、锦江都城、山水中天、龙翔国际、锦江都城、东岳鑫悦、梅洛水晶或同级
                <w:br/>
                第4晚凤凰参考酒店：国宾、凤天国际、凤凰国际、辰龙金展或同级
                <w:br/>
                <w:br/>
                标准二：当地3晚4星参考酒店+长沙1晚网评4钻或景区客栈（补房差：380  退房差：200）
                <w:br/>
                第1晚长沙参考酒店：铜官窑瑞景酒店及景区客栈或同级
                <w:br/>
                第2/3晚张家界参考酒店：张家界印象、佳境天成、维也纳、武陵居、土司别院、天子主楼、瑞峰居、梦溪源客栈或同级
                <w:br/>
                第4晚凤凰参考酒店：怡佳客栈、西珊民宿、河岸假日、听江、金凤、镇竿会馆、火凤、高原红或同级
                <w:br/>
                （本行程酒店无三人间或加床服务，如遇单人情况，请您补足房差，谢谢配合）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2025-06-17T18:47:35+08:00</dcterms:created>
  <dcterms:modified xsi:type="dcterms:W3CDTF">2025-06-17T18:47:35+08:00</dcterms:modified>
</cp:coreProperties>
</file>

<file path=docProps/custom.xml><?xml version="1.0" encoding="utf-8"?>
<Properties xmlns="http://schemas.openxmlformats.org/officeDocument/2006/custom-properties" xmlns:vt="http://schemas.openxmlformats.org/officeDocument/2006/docPropsVTypes"/>
</file>