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【食足15餐】住南澳岛上准五星酒店 畅玩青澳湾沙滩  潮州古城  赏湘子桥光影秀  品龙虾海鲜火锅大餐3天行程单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YD16026390055x</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潮州市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3</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无</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★龙虾盛宴：升级品鉴价值999元《龙虾海鲜火锅大餐》，龙虾海鱼生蚝超级鲜甜！
                <w:br/>
                ★尊享五星：升级1晚入住南澳岛上准五星酒店，与涛声共眠、日出日落、满天繁星；
                <w:br/>
                ★食15餐：除了龙虾盛宴，还有海鲜餐+牛肉火锅+10种特色下午茶点心+2早餐！
                <w:br/>
                ★三种体验：畅玩青澳湾、韵味潮州古城、民国风情汕头老市区，给您三种不同体验！
                <w:br/>
                ★打卡网红：特别安排观赏全国轰动、壮观无比、抖音网红的CCTV湘子桥光影秀！
                <w:br/>
                ★再送礼包：成人赠送大礼包【精美丝巾1条+金象项链1条+灵芝香皂1个】！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广州--南澳
                <w:br/>
                07:00杨箕地铁站A出口
                <w:br/>
                07:40番禺广场地铁站A出口（8人以上）
                <w:br/>
                返程地点：番禺广场、纪念堂地铁口
                <w:br/>
                上午：指定时间地点集中，乘车前往经济特区——汕头市。
                <w:br/>
                中午：午餐于途中自理，赠送下午茶：每人2块《潮汕绿豆饼》。
                <w:br/>
                下午：后前往被《国家地理杂志》评选为“广东最美的岛屿”—【南澳岛】，车游海上巨龙—【南澳大桥】领略海上奇观，南澳大桥是全省最长的一座跨海大桥，于2009年1月20日开建，起点于澄海区莱芜，点于南澳长山尾苦路坪接入环岛公路，全长11.08公里，其中桥梁长9261m、道路长1819m，按二级公路标准建设，桥面全宽12米、宽11米，全线采用设计速度60公里/小时的二级公路标准，路基宽12米，桥梁净宽11米；采用塔、墩、梁固结系，其优点是抗风性能强，抗震、防撞性能好，项目总资为12亿元。车游新南澳外滩—【前江湾海滨路】，后游【南澳新貌环岛景观带之青澳湾】，漫步中国最美海岸线—【青澳湾天然沙滩泳场】，素有“东夏威夷”之称的青澳湾，海似新月，海面如平湖。金黄柔软的沙湾绵延2400多米，坡度平缓，沙质洁净，一直延至水下百米以外无礁石无淤泥；海水无陵质无污染，潮涨潮落不改澄碧颜色；背倚险峻高山，山上奇石嶙峋；环海湾的是纵深百米的防风林带，四季郁郁葱，同晶莹金黄的沙湾、湛蓝透亮的海水，形成了分明的立体层次，是广两个A级沐浴海滩之一，游客可自由漫步沙滩、下海戏水畅泳，后游览【自然之门】，粤东南澳北回归线标志塔设计。
                <w:br/>
                晚餐：晚餐品尝《南澳海鲜餐》。
                <w:br/>
                晚上：后前往入住南澳岛上准五星酒店（海泉湾度假酒店/格兰云天大酒店/欣涛度假村/香湖湾酒店/海韵华轩酒店/或同级酒店），赠送点心：每人海底燕窝《海石花》1碗。
                <w:br/>
                交通：空调旅游车
                <w:br/>
              </w:t>
            </w:r>
          </w:p>
        </w:tc>
        <w:tc>
          <w:tcPr/>
          <w:p>
            <w:pPr>
              <w:pStyle w:val="indent"/>
            </w:pPr>
            <w:r>
              <w:rPr>
                <w:rFonts w:ascii="宋体" w:hAnsi="宋体" w:eastAsia="宋体" w:cs="宋体"/>
                <w:color w:val="000000"/>
                <w:sz w:val="20"/>
                <w:szCs w:val="20"/>
              </w:rPr>
              <w:t xml:space="preserve">早餐：X     午餐：X     晚餐：√   </w:t>
            </w:r>
          </w:p>
        </w:tc>
        <w:tc>
          <w:tcPr/>
          <w:p>
            <w:pPr>
              <w:pStyle w:val="indent"/>
            </w:pPr>
            <w:r>
              <w:rPr>
                <w:rFonts w:ascii="宋体" w:hAnsi="宋体" w:eastAsia="宋体" w:cs="宋体"/>
                <w:color w:val="000000"/>
                <w:sz w:val="20"/>
                <w:szCs w:val="20"/>
              </w:rPr>
              <w:t xml:space="preserve">南澳岛</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汕头--潮州
                <w:br/>
                上午：享用早餐，后途观富有海岛色的【海上渔村】，亚洲最大的海岛风能发电场—【风车山】，后车游汕头新八景之一【海滨长廊】【人民广场】。游览建于清代耗资八万银元，至今已有一百多年的历、粤东地区的主要海防建筑【石炮台公园】。游览民国风情【小公园游览区】。点心安排：每人1份《百年广场豆花》。
                <w:br/>
                中午：午餐品尝丰盛的《龙虾海鲜火锅大餐》（参考菜单：龙虾2条、龙胆鱼、鲈鳗鱼、深海鱼、生蚝、南美白虾、鲜鱿鱼、豆腐、鱼丸、青菜白饭粿条任吃）。潮汕不止牛肉火锅好吃，因地处沿海，海鲜也是很出色的打火锅的食材最质量上要求极其严格，必须得用最新鲜的海鲜才能让食客体验到最鲜甜的海味。
                <w:br/>
                下午：后参观【乳胶馆】（约90分钟）。后前往游览全国三十六西湖之【潮州西湖】，随着城市建设重心西移，这里已成为古城区与新城区绿色的分水岭，也是名城腾辉一脉相承的纽带。在贯彻实施“保护古城区，建设新城区”的城建方针中，两者当互相兼顾、齐驱并进。假若潮州城建规划已定位在山水园林式之中，那么西湖便是古城区一片碧绿的园林肺叶。点心安排：每人6块《潮州咸水粿》。
                <w:br/>
                晚餐：晚餐于牌坊街自由品尝潮州小吃。赠送下午茶：每人一份《芝麻茶/杏仁茶2选1》。
                <w:br/>
                晚上：前往游览全国最大的牌坊建筑群【牌坊街】，历史源远流长，百年老店【胡荣泉】，【胜记芝麻茶】，【红炖牛肉】，【糖葱薄饼】，【开元咸水粿】，【甘草水果】，【猪肠胀糯米】等等，建议勿贪嘴，每样小吃品尝即可，留着肚子吃遍整个古城。后走进央视《2018春节戏曲晚会》潮州分会场——【古城广济楼】，感受靓丽的灯光再现央视录制节目的精彩现场，外观世界第一启闭式桥梁，中国四大古桥之一的潮州【湘子桥】，欣赏【一江两岸灯光盛宴】和【湘子桥“光影秀”】（每晚19:00-22:00亮灯,广济桥“光影秀”每晚20:00/21:00整点开始，如因检修需要暂停夜景亮灯或其它不可抗力原因导致无法参观不作赔偿），本次亮灯工程的设计团队曾负责G20峰会、杭州西湖夜景，由央视的灯光控制师亲自操刀，整个设计周期将近三个月，自17年12月25日开工，施工工期是45个日历天，近1000个小时。完成200公里管线敷设，近7万套灯具安装，涉及一江两岸6平方多公里范围，主要亮灯工程分布从金山大桥到韩江大桥沿江两岸，包括金山大桥、韩文公祠、笔架山、韩师大门、东西堤岸、广济桥、韩江大桥、凤凰洲公园、北阁佛灯、城门古城墙、牌坊街、颐园十三个节点。漫步【滨江文化长廊】，【宋明代古城墙】，后入住酒店。赠送宵夜：每人一份《潮州肠粉》。
                <w:br/>
                交通：空调旅游车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潮州准三酒店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潮州—出发地
                <w:br/>
                上午：享用早餐，后前往参观【灵芝店】（约90分钟），后前往游览潮州八景之一、电影《羞羞的铁拳》拍摄地之一的【韩文公祠】（逢周一闭馆，如遇闭馆则更改为泰佛殿或其他免费景点，不作赔偿），了解唐宋八大家之一的韩愈为潮做的4大贡献，韩文公祠的建筑简朴雅致，墙壁全是水磨砖砌成，祠内分前后二进，并带两廊，后进升高七尺，有石阶可登，正中供韩愈塑像。祠内石柱多刻对联，四壁环立历代碑刻四十面，详载韩愈贬潮史迹和该祠兴废情况。下午茶安排：每人1份百年老字号甜品《鸭母捻糖水》。
                <w:br/>
                中午：午餐品尝《潮汕沙茶牛肉火锅》。
                <w:br/>
                下午：参观【厨具店】或【保健馆】（2选1，约90分钟），点心安排：每人2块《潮州腐乳饼》，后结束愉快旅程，返程温馨的家！
                <w:br/>
                交通：空调旅游车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集合站点</w:t>
      </w:r>
    </w:p>
    <w:tbl>
      <w:tblGrid>
        <w:gridCol w:w="2500" w:type="dxa"/>
        <w:gridCol w:w="1000" w:type="dxa"/>
        <w:gridCol w:w="1500" w:type="dxa"/>
        <w:gridCol w:w="1500" w:type="dxa"/>
        <w:gridCol w:w="1000" w:type="dxa"/>
        <w:gridCol w:w="1500" w:type="dxa"/>
        <w:gridCol w:w="1500" w:type="dxa"/>
      </w:tblGrid>
      <w:tblPr>
        <w:tblStyle w:val="lineStationSiteList"/>
      </w:tblPr>
      <w:tr>
        <w:trPr/>
        <w:tc>
          <w:tcPr>
            <w:tcW w:w="2500" w:type="dxa"/>
            <w:vAlign w:val="center"/>
            <w:shd w:val="clear" w:fill="efefef"/>
          </w:tcPr>
          <w:p>
            <w:pPr>
              <w:pStyle w:val="center"/>
            </w:pPr>
            <w:r>
              <w:rPr>
                <w:rFonts w:ascii="宋体" w:hAnsi="宋体" w:eastAsia="宋体" w:cs="宋体"/>
                <w:color w:val="000000"/>
                <w:sz w:val="20"/>
                <w:szCs w:val="20"/>
                <w:b/>
                <w:bCs/>
              </w:rPr>
              <w:t xml:space="preserve">名称</w:t>
            </w:r>
          </w:p>
        </w:tc>
        <w:tc>
          <w:tcPr>
            <w:tcW w:w="1000" w:type="dxa"/>
            <w:vAlign w:val="center"/>
            <w:shd w:val="clear" w:fill="efefef"/>
          </w:tcPr>
          <w:p>
            <w:pPr>
              <w:pStyle w:val="center"/>
            </w:pPr>
            <w:r>
              <w:rPr>
                <w:rFonts w:ascii="宋体" w:hAnsi="宋体" w:eastAsia="宋体" w:cs="宋体"/>
                <w:color w:val="000000"/>
                <w:sz w:val="20"/>
                <w:szCs w:val="20"/>
                <w:b/>
                <w:bCs/>
              </w:rPr>
              <w:t xml:space="preserve">回程</w:t>
            </w:r>
          </w:p>
        </w:tc>
        <w:tc>
          <w:tcPr>
            <w:tcW w:w="1500" w:type="dxa"/>
            <w:vAlign w:val="center"/>
            <w:shd w:val="clear" w:fill="efefef"/>
          </w:tcPr>
          <w:p>
            <w:pPr>
              <w:pStyle w:val="center"/>
            </w:pPr>
            <w:r>
              <w:rPr>
                <w:rFonts w:ascii="宋体" w:hAnsi="宋体" w:eastAsia="宋体" w:cs="宋体"/>
                <w:color w:val="000000"/>
                <w:sz w:val="20"/>
                <w:szCs w:val="20"/>
                <w:b/>
                <w:bCs/>
              </w:rPr>
              <w:t xml:space="preserve">上车时间</w:t>
            </w:r>
          </w:p>
        </w:tc>
        <w:tc>
          <w:tcPr>
            <w:tcW w:w="1500" w:type="dxa"/>
            <w:vAlign w:val="center"/>
            <w:shd w:val="clear" w:fill="efefef"/>
          </w:tcPr>
          <w:p>
            <w:pPr>
              <w:pStyle w:val="center"/>
            </w:pPr>
            <w:r>
              <w:rPr>
                <w:rFonts w:ascii="宋体" w:hAnsi="宋体" w:eastAsia="宋体" w:cs="宋体"/>
                <w:color w:val="000000"/>
                <w:sz w:val="20"/>
                <w:szCs w:val="20"/>
                <w:b/>
                <w:bCs/>
              </w:rPr>
              <w:t xml:space="preserve">单价(元/人)</w:t>
            </w:r>
          </w:p>
        </w:tc>
        <w:tc>
          <w:tcPr>
            <w:tcW w:w="1000" w:type="dxa"/>
            <w:vAlign w:val="center"/>
            <w:shd w:val="clear" w:fill="efefef"/>
          </w:tcPr>
          <w:p>
            <w:pPr>
              <w:pStyle w:val="center"/>
            </w:pPr>
            <w:r>
              <w:rPr>
                <w:rFonts w:ascii="宋体" w:hAnsi="宋体" w:eastAsia="宋体" w:cs="宋体"/>
                <w:color w:val="000000"/>
                <w:sz w:val="20"/>
                <w:szCs w:val="20"/>
                <w:b/>
                <w:bCs/>
              </w:rPr>
              <w:t xml:space="preserve">回程</w:t>
            </w:r>
          </w:p>
        </w:tc>
        <w:tc>
          <w:tcPr>
            <w:tcW w:w="1500" w:type="dxa"/>
            <w:vAlign w:val="center"/>
            <w:shd w:val="clear" w:fill="efefef"/>
          </w:tcPr>
          <w:p>
            <w:pPr>
              <w:pStyle w:val="center"/>
            </w:pPr>
            <w:r>
              <w:rPr>
                <w:rFonts w:ascii="宋体" w:hAnsi="宋体" w:eastAsia="宋体" w:cs="宋体"/>
                <w:color w:val="000000"/>
                <w:sz w:val="20"/>
                <w:szCs w:val="20"/>
                <w:b/>
                <w:bCs/>
              </w:rPr>
              <w:t xml:space="preserve">上车时间</w:t>
            </w:r>
          </w:p>
        </w:tc>
        <w:tc>
          <w:tcPr>
            <w:tcW w:w="1500" w:type="dxa"/>
            <w:vAlign w:val="center"/>
            <w:shd w:val="clear" w:fill="efefef"/>
          </w:tcPr>
          <w:p>
            <w:pPr>
              <w:pStyle w:val="center"/>
            </w:pPr>
            <w:r>
              <w:rPr>
                <w:rFonts w:ascii="宋体" w:hAnsi="宋体" w:eastAsia="宋体" w:cs="宋体"/>
                <w:color w:val="000000"/>
                <w:sz w:val="20"/>
                <w:szCs w:val="20"/>
                <w:b/>
                <w:bCs/>
              </w:rPr>
              <w:t xml:space="preserve">单价(元/人)</w:t>
            </w:r>
          </w:p>
        </w:tc>
      </w:tr>
      <w:tr>
        <w:trPr/>
        <w:tc>
          <w:tcPr>
            <w:tcW w:w="2500" w:type="dxa"/>
          </w:tcPr>
          <w:p>
            <w:pPr>
              <w:pStyle w:val="center"/>
            </w:pPr>
            <w:r>
              <w:rPr>
                <w:rFonts w:ascii="宋体" w:hAnsi="宋体" w:eastAsia="宋体" w:cs="宋体"/>
                <w:color w:val="000000"/>
                <w:sz w:val="20"/>
                <w:szCs w:val="20"/>
                <w:b/>
                <w:bCs/>
              </w:rPr>
              <w:t xml:space="preserve">番禺广场（地铁A出口）</w:t>
            </w:r>
          </w:p>
        </w:tc>
        <w:tc>
          <w:tcPr>
            <w:tcW w:w="1000" w:type="dxa"/>
          </w:tcPr>
          <w:p>
            <w:pPr>
              <w:pStyle w:val="center"/>
            </w:pPr>
            <w:r>
              <w:rPr>
                <w:rFonts w:ascii="宋体" w:hAnsi="宋体" w:eastAsia="宋体" w:cs="宋体"/>
                <w:color w:val="000000"/>
                <w:sz w:val="20"/>
                <w:szCs w:val="20"/>
                <w:b/>
                <w:bCs/>
              </w:rPr>
              <w:t xml:space="preserve">√</w:t>
            </w:r>
          </w:p>
        </w:tc>
        <w:tc>
          <w:tcPr>
            <w:tcW w:w="1500" w:type="dxa"/>
          </w:tcPr>
          <w:p>
            <w:pPr>
              <w:pStyle w:val="center"/>
            </w:pPr>
            <w:r>
              <w:rPr>
                <w:rFonts w:ascii="宋体" w:hAnsi="宋体" w:eastAsia="宋体" w:cs="宋体"/>
                <w:color w:val="000000"/>
                <w:sz w:val="20"/>
                <w:szCs w:val="20"/>
                <w:b/>
                <w:bCs/>
              </w:rPr>
              <w:t xml:space="preserve">07:40</w:t>
            </w:r>
          </w:p>
        </w:tc>
        <w:tc>
          <w:tcPr>
            <w:tcW w:w="1500" w:type="dxa"/>
          </w:tcPr>
          <w:p>
            <w:pPr>
              <w:pStyle w:val="center"/>
            </w:pPr>
            <w:r>
              <w:rPr>
                <w:rFonts w:ascii="宋体" w:hAnsi="宋体" w:eastAsia="宋体" w:cs="宋体"/>
                <w:color w:val="000000"/>
                <w:sz w:val="20"/>
                <w:szCs w:val="20"/>
                <w:b/>
                <w:bCs/>
              </w:rPr>
              <w:t xml:space="preserve">0</w:t>
            </w:r>
          </w:p>
        </w:tc>
        <w:tc>
          <w:tcPr>
            <w:tcW w:w="1000" w:type="dxa"/>
          </w:tcPr>
          <w:p>
            <w:pPr>
              <w:pStyle w:val="center"/>
            </w:pPr>
            <w:r>
              <w:rPr>
                <w:rFonts w:ascii="宋体" w:hAnsi="宋体" w:eastAsia="宋体" w:cs="宋体"/>
                <w:color w:val="000000"/>
                <w:sz w:val="20"/>
                <w:szCs w:val="20"/>
                <w:b/>
                <w:bCs/>
              </w:rPr>
              <w:t xml:space="preserve">-</w:t>
            </w:r>
          </w:p>
        </w:tc>
        <w:tc>
          <w:tcPr>
            <w:tcW w:w="1500" w:type="dxa"/>
          </w:tcPr>
          <w:p>
            <w:pPr>
              <w:pStyle w:val="center"/>
            </w:pPr>
            <w:r>
              <w:rPr>
                <w:rFonts w:ascii="宋体" w:hAnsi="宋体" w:eastAsia="宋体" w:cs="宋体"/>
                <w:color w:val="000000"/>
                <w:sz w:val="20"/>
                <w:szCs w:val="20"/>
                <w:b/>
                <w:bCs/>
              </w:rPr>
              <w:t xml:space="preserve"/>
            </w:r>
          </w:p>
        </w:tc>
        <w:tc>
          <w:tcPr>
            <w:tcW w:w="1500" w:type="dxa"/>
          </w:tcPr>
          <w:p>
            <w:pPr>
              <w:pStyle w:val="center"/>
            </w:pPr>
            <w:r>
              <w:rPr>
                <w:rFonts w:ascii="宋体" w:hAnsi="宋体" w:eastAsia="宋体" w:cs="宋体"/>
                <w:color w:val="000000"/>
                <w:sz w:val="20"/>
                <w:szCs w:val="20"/>
                <w:b/>
                <w:bCs/>
              </w:rPr>
              <w:t xml:space="preserve">0</w:t>
            </w:r>
          </w:p>
        </w:tc>
      </w:tr>
      <w:tr>
        <w:trPr/>
        <w:tc>
          <w:tcPr>
            <w:tcW w:w="2500" w:type="dxa"/>
          </w:tcPr>
          <w:p>
            <w:pPr>
              <w:pStyle w:val="center"/>
            </w:pPr>
            <w:r>
              <w:rPr>
                <w:rFonts w:ascii="宋体" w:hAnsi="宋体" w:eastAsia="宋体" w:cs="宋体"/>
                <w:color w:val="000000"/>
                <w:sz w:val="20"/>
                <w:szCs w:val="20"/>
                <w:b/>
                <w:bCs/>
              </w:rPr>
              <w:t xml:space="preserve">杨箕地铁站A出口</w:t>
            </w:r>
          </w:p>
        </w:tc>
        <w:tc>
          <w:tcPr>
            <w:tcW w:w="1000" w:type="dxa"/>
          </w:tcPr>
          <w:p>
            <w:pPr>
              <w:pStyle w:val="center"/>
            </w:pPr>
            <w:r>
              <w:rPr>
                <w:rFonts w:ascii="宋体" w:hAnsi="宋体" w:eastAsia="宋体" w:cs="宋体"/>
                <w:color w:val="000000"/>
                <w:sz w:val="20"/>
                <w:szCs w:val="20"/>
                <w:b/>
                <w:bCs/>
              </w:rPr>
              <w:t xml:space="preserve">√</w:t>
            </w:r>
          </w:p>
        </w:tc>
        <w:tc>
          <w:tcPr>
            <w:tcW w:w="1500" w:type="dxa"/>
          </w:tcPr>
          <w:p>
            <w:pPr>
              <w:pStyle w:val="center"/>
            </w:pPr>
            <w:r>
              <w:rPr>
                <w:rFonts w:ascii="宋体" w:hAnsi="宋体" w:eastAsia="宋体" w:cs="宋体"/>
                <w:color w:val="000000"/>
                <w:sz w:val="20"/>
                <w:szCs w:val="20"/>
                <w:b/>
                <w:bCs/>
              </w:rPr>
              <w:t xml:space="preserve">07:00</w:t>
            </w:r>
          </w:p>
        </w:tc>
        <w:tc>
          <w:tcPr>
            <w:tcW w:w="1500" w:type="dxa"/>
          </w:tcPr>
          <w:p>
            <w:pPr>
              <w:pStyle w:val="center"/>
            </w:pPr>
            <w:r>
              <w:rPr>
                <w:rFonts w:ascii="宋体" w:hAnsi="宋体" w:eastAsia="宋体" w:cs="宋体"/>
                <w:color w:val="000000"/>
                <w:sz w:val="20"/>
                <w:szCs w:val="20"/>
                <w:b/>
                <w:bCs/>
              </w:rPr>
              <w:t xml:space="preserve">0</w:t>
            </w:r>
          </w:p>
        </w:tc>
        <w:tc>
          <w:tcPr>
            <w:tcW w:w="1000" w:type="dxa"/>
          </w:tcPr>
          <w:p>
            <w:pPr>
              <w:pStyle w:val="center"/>
            </w:pPr>
            <w:r>
              <w:rPr>
                <w:rFonts w:ascii="宋体" w:hAnsi="宋体" w:eastAsia="宋体" w:cs="宋体"/>
                <w:color w:val="000000"/>
                <w:sz w:val="20"/>
                <w:szCs w:val="20"/>
                <w:b/>
                <w:bCs/>
              </w:rPr>
              <w:t xml:space="preserve">-</w:t>
            </w:r>
          </w:p>
        </w:tc>
        <w:tc>
          <w:tcPr>
            <w:tcW w:w="1500" w:type="dxa"/>
          </w:tcPr>
          <w:p>
            <w:pPr>
              <w:pStyle w:val="center"/>
            </w:pPr>
            <w:r>
              <w:rPr>
                <w:rFonts w:ascii="宋体" w:hAnsi="宋体" w:eastAsia="宋体" w:cs="宋体"/>
                <w:color w:val="000000"/>
                <w:sz w:val="20"/>
                <w:szCs w:val="20"/>
                <w:b/>
                <w:bCs/>
              </w:rPr>
              <w:t xml:space="preserve"/>
            </w:r>
          </w:p>
        </w:tc>
        <w:tc>
          <w:tcPr>
            <w:tcW w:w="1500" w:type="dxa"/>
          </w:tcPr>
          <w:p>
            <w:pPr>
              <w:pStyle w:val="center"/>
            </w:pPr>
            <w:r>
              <w:rPr>
                <w:rFonts w:ascii="宋体" w:hAnsi="宋体" w:eastAsia="宋体" w:cs="宋体"/>
                <w:color w:val="000000"/>
                <w:sz w:val="20"/>
                <w:szCs w:val="20"/>
                <w:b/>
                <w:bCs/>
              </w:rPr>
              <w:t xml:space="preserve">0</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1、交通：按实际参团人数安排空调旅游巴士，每人一正座；
                <w:br/>
                2、用餐：含三正餐两早餐、九个特色点心
                <w:br/>
                3、住宿： 入住南澳岛上准五星酒店（参考酒店：欣涛度假村/海泉湾度假酒店/格兰云天大酒店/香湖湾酒店/海韵华轩酒店/或同级酒店）；潮州（参考酒店：兰欧/喜悦/春景/利安/华明或同级）
                <w:br/>
                4、景点：景区首道大门票；
                <w:br/>
                5、导游：提供专业导游服务；
                <w:br/>
                6、购物：全程安排三站购物店（五选三）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1、费用包含以外的一起个人消费。
                <w:br/>
                2、个人旅游意外险。（为了您的旅途安全，特别建议宾客自行购买，费用可咨询我公司销售人员）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乳胶体验馆、厨具店、丝绸店、保健馆、灵芝店</w:t>
            </w:r>
          </w:p>
        </w:tc>
        <w:tc>
          <w:tcPr/>
          <w:p>
            <w:pPr>
              <w:pStyle w:val="indent"/>
            </w:pPr>
            <w:r>
              <w:rPr>
                <w:rFonts w:ascii="宋体" w:hAnsi="宋体" w:eastAsia="宋体" w:cs="宋体"/>
                <w:color w:val="000000"/>
                <w:sz w:val="20"/>
                <w:szCs w:val="20"/>
              </w:rPr>
              <w:t xml:space="preserve">床上用品、厨具、丝绸、保健品、灵芝制品（购物场所：导游根据实际情况安排游客参观3个购物店，5选3，进店为准，自愿购买）</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我社将按实际人数安排合适车型，并安排巴士座位，上车请对号入座；车牌号、座位号以及陪同联系方式将在出行前一天20：00点前以短信形式通知，敬请留意；如您在出行前一天20：00尚未收到短信，请速来电咨询。请客人准时到达出团集合地点，过时不候。2、旅行社会按照本团客人的报名先后顺序统一安排坐车座位。如车上有老弱妇孺需要照顾的，请客人自觉礼让。3、客人应妥善保管自己的行李物品（特别是现金、有价证券以及贵重物品等）。4、本团不发旅行袋及旅游帽及矿泉水。
                <w:br/>
                5、车上空调较凉请自备保暖衣物，如有晕车的朋友请带上晕车药，途中怕饿的朋友可以提前准备一些干粮！6、18岁以下未成年人如没有成人陪同参团，必须有法定监护人签名同意书方可。7、紧急报警电话110，急救中心电话120。
                <w:br/>
                8、本团30人成团，若不成团则提前两日通知，不另作赔偿！
                <w:br/>
                9、该线我公司与“广州市途喜国际旅行社有限公司”（营业执照注册号：440105000449442）共同组团出发；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1、客人出团当天需要出示穗康码和接受体温测量，如出现下列情况之一，视为因客人原因退团，按照《广州市国内旅游组团合同》第28条约定处理。旅行社有权拒绝客人上车，客人应自觉配合。
                <w:br/>
                （1）客人不能出示穗康码或穗康码过期无效；
                <w:br/>
                （2）客人出示的穗康码背景颜色为 “红码”高风险状态的；
                <w:br/>
                （3）客人拒绝接受旅行社或相关部门体温测量；或受相关部门要求进行留观处理无法跟随团队行进的；
                <w:br/>
                （4）客人通过药物等其他方式降低体温，隐瞒病情。
                <w:br/>
                2、如客人出团当天出示的穗康码处于有效期内，且穗康码背景颜色为“ 蓝码”或“绿码”低风险状态的，但体温测量超过（含）37.3℃，旅行社有权拒绝客人上车，并视为双方解除合同，客人应自觉配合。
                <w:br/>
                3、客人在车内、室内、人多的地方必须配带口罩，在游览过程中不聚众，与前后游客保持安全的距离。
                <w:br/>
                4、旅行社强烈建议出行游客购买个人旅游意外保险。具体保险险种请在报名时向销售人员咨询并购买，出行时请将该保单资料随身携带。
                <w:br/>
                5、基于旅游体验的特殊性，若客人在行程中对任何旅游服务质量存有异议，请立即向导游提出，以便旅行社能及时核查及采取补救措施，若客人没有及时提出或擅自解决而导致旅行社错过补救解决机会的，由此产生的扩大损失由客人自行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贴心安排：为每位客人提供1个一次性医疗口罩，上车前测量体温
                <w:br/>
                贴心配备：旅游巴士每天至少消毒1次（车上备有免洗洗手液、免接触体温计）
                <w:br/>
                用心为您：后勤人员24小时处理突发状况，保障出行安全
                <w:br/>
                舒心用餐：公勺公筷有序用餐
                <w:br/>
                保障机制：随团司机及导游全程佩戴口罩、尽心做到对每位客人认真负责
                <w:br/>
                安心酒店：入住酒店登记体温同时酒店均提前全方位消毒、以保证客人入住安心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打印日期：2026-09-18</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tationSiteList">
    <w:name w:val="lineStationSiteLi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2026-09-18T20:08:47+08:00</dcterms:created>
  <dcterms:modified xsi:type="dcterms:W3CDTF">2026-09-18T20:08:47+08:00</dcterms:modified>
</cp:coreProperties>
</file>

<file path=docProps/custom.xml><?xml version="1.0" encoding="utf-8"?>
<Properties xmlns="http://schemas.openxmlformats.org/officeDocument/2006/custom-properties" xmlns:vt="http://schemas.openxmlformats.org/officeDocument/2006/docPropsVTypes"/>
</file>