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暑期THE MALL】法国+瑞士+意大利12天（TK广州起止）|五渔村|巴黎2晚华天|少女峰|斗兽场入内|黄金列车|卢浮宫|凡尔赛宫|尚蒂伊城堡|罗马深度品读|塞纳河游船贡多拉|少女峰雪山景观行程单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EU202505081520HC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★全程豪华-超级豪华酒店，巴黎连住两晚塞纳河畔华天酒店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23:00/05:20+1 
                <w:br/>
                ●【团队集合】,怀着轻松愉快的心情，行囊中装满无限憧憬，踏着轻快的脚步。团友指定时间自行前往广州白云机场集中，搭乘国际航班经伊斯坦布尔飞往欧洲。(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伊斯坦布尔-(飞机)-罗马-(大巴约220公里)-普拉托
                <w:br/>
                参考航班：
                <w:br/>
                TK1861  土耳其伊斯坦布尔机场 (IST)  -  罗马菲乌米奇诺国际机场 （FCO）   08:05/09:40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●【许愿泉】,是罗马至后一件巴洛克杰作，它是罗马的象征之一，电影《罗马假日》风靡全球后更成为著名的喷泉。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●【佛罗伦萨圣母百花大教堂】外观,佛罗伦萨圣母百花大教堂：佛罗伦萨至重要的地标，由教堂、洗礼堂、钟楼组成，洗礼堂的正门由于大师米开朗基罗的赞誉而得到“天堂之门”的美誉。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交通：旅游大巴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或GALZIGNANO RESORT HOTEL SPLENDID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●【威尼斯里亚托桥】,威尼斯至著名的桥，桥旁边的德国商馆不可错过，两岸景色与这座4层外表典雅内饰低调奢华的文艺复兴风格的建筑完美融合，你在这里可以找到百分之百意大利本土精品。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交通：旅游大巴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至美丽、至理想的旅游城市，也是至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1505/1655 ）。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或HARRY'S HOME BERN OSTERMUNDIGEN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 BW PLUS AU CHEVAL BLANC MULHOUSE或 BRISTOL (G) 或NOVOTEL MULHOUSE BALE FRIBOURG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贝尔福-(大巴约70公里)-科尔马-(大巴约350公里)-兰斯
                <w:br/>
                ●【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参考酒店：NOVOTEL REIMS TINQUEUX 或 HOLIDAY INN REIMS CITY CENTRE 或 MERCURE REIMS PARC DES EXPOSITIONS 或 RADISSON HOTEL REIMS 或 BEST WESTERN PREMIER DE LA PAIX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兰斯-(大巴约146公里)-巴黎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交通：旅游大巴
                <w:br/>
              </w:t>
            </w:r>
          </w:p>
        </w:tc>
        <w:tc>
          <w:tcPr/>
          <w:p>
            <w:pPr>
              <w:pStyle w:val="indent"/>
            </w:pPr>
            <w:r>
              <w:rPr>
                <w:rFonts w:ascii="宋体" w:hAnsi="宋体" w:eastAsia="宋体" w:cs="宋体"/>
                <w:color w:val="000000"/>
                <w:sz w:val="20"/>
                <w:szCs w:val="20"/>
              </w:rPr>
              <w:t xml:space="preserve">早餐：酒店早餐     午餐：中式团餐     晚餐：法式海鲜大餐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1小时）,法国初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●【香榭丽舍大道】车览,香榭丽舍大街是巴黎著名的一条街道，全长1800米，至宽处约120米，为双向八车道，东起协和广场，西至戴高乐广场，是巴黎美丽浪漫的象征。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巴黎-(飞机)-伊斯坦布尔
                <w:br/>
                参考航班：
                <w:br/>
                TK1834  巴黎夏尔·戴高乐机场 (CDG)  - 土耳其伊斯坦布尔机场 (IST)   17:55/22:35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01:30/16:50 
                <w:br/>
                ●【抵达国内】,抵达国内，护照交给导游。所有团员回程段的登机卡及护照原件要交使馆/领事馆办理返程确认。销签抽查面试请团友无条件配合。(申根领事馆至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1.住宿：全程欧洲标准豪华-超级豪华酒店或同等级酒店：以两人一房为标准、酒店内包含早餐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至大好处！ 初先，请注意商店里是否有蓝白灰三色的退税购物(TAX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Cheque)初联是蓝色的，则可以现金方式退税；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至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若离境时不能马上拿到现金，要盖上至后一站离境国海关图章的退税单，寄到环球退税公司（Global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2025-07-03T21:06:55+08:00</dcterms:created>
  <dcterms:modified xsi:type="dcterms:W3CDTF">2025-07-03T21:06:55+08:00</dcterms:modified>
</cp:coreProperties>
</file>

<file path=docProps/custom.xml><?xml version="1.0" encoding="utf-8"?>
<Properties xmlns="http://schemas.openxmlformats.org/officeDocument/2006/custom-properties" xmlns:vt="http://schemas.openxmlformats.org/officeDocument/2006/docPropsVTypes"/>
</file>