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去程：广州南/广州白云/广州--韶关 7:00-9:00（最终车次以实际出票为准）
                <w:br/>
                回程：韶关/郴州西--广州南/广州白云/广州18：00--23：00左右的车次（最终车次以实际出票为准）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5、中童小童（0-13周岁，未过14周岁生日），满14周岁按成人报名操作，不退任何差价（如大交通、房差、门票、景交、餐费等），请知悉！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莽山森林温泉酒店—高椅岭
                <w:br/>
                早餐后前往参观【高椅岭地质公园】（车程约2小时，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鼎维酒店或同级酒店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东江湖1号线——韶关/郴州西——广州南/广州/广州白云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舒适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团队用餐：全程安排2正2早(酒店含早餐、不用者不退) 温泉养生宴、东江湖湖鲜宴，不用不退，用餐条件与广东有一定的差异，大家应有心理准备。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2025-09-14T09:28:35+08:00</dcterms:created>
  <dcterms:modified xsi:type="dcterms:W3CDTF">2025-09-14T09:28:35+08:00</dcterms:modified>
</cp:coreProperties>
</file>

<file path=docProps/custom.xml><?xml version="1.0" encoding="utf-8"?>
<Properties xmlns="http://schemas.openxmlformats.org/officeDocument/2006/custom-properties" xmlns:vt="http://schemas.openxmlformats.org/officeDocument/2006/docPropsVTypes"/>
</file>