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【皇家加勒比•海洋光谱号游轮】上海-福冈-长崎-上海  6天5晚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SA1708910605MS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长崎-福冈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预计停靠时间：07:00—18:45
                <w:br/>
                福冈地处九州北部，是九州的门户。富饶的自然景色和超然物外的温泉享受，赋予福冈独特的魅力。不论是历史遗迹还是是特色美食，都让您不枉此行。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日本-长崎  预计停靠时间：07:00—18:00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交通：邮轮上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2、海洋光谱号5晚船上住宿；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开航前39-19天（含）以外收取船费全款的55%作为取消费用；
                <w:br/>
                开航前18-0天（含）以外收取船费全款的100%作为取消费用。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br/>
                <w:br/>
                3、开航当天缺席或开航后无论以任何理由放弃旅行的，需扣团费全款100%：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2025-05-05T15:35:05+08:00</dcterms:created>
  <dcterms:modified xsi:type="dcterms:W3CDTF">2025-05-05T15:35:05+08:00</dcterms:modified>
</cp:coreProperties>
</file>

<file path=docProps/custom.xml><?xml version="1.0" encoding="utf-8"?>
<Properties xmlns="http://schemas.openxmlformats.org/officeDocument/2006/custom-properties" xmlns:vt="http://schemas.openxmlformats.org/officeDocument/2006/docPropsVTypes"/>
</file>