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【常规▪皇牌中原】陕西河南双飞6天 ▏古都西安 ▏秦始皇兵马俑 ▏西岳华山   ▏大唐不夜城 ▏嵩山少林寺 ▏龙门石窟 ▏ 万岁山大宋武侠城（纯玩）行程单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DFY-20240506C1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河南省-陕西省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广州-运城CZ3921/1655-1920
                <w:br/>
                运城-广州CZ3922/2010-2240
                <w:br/>
                （具体航班时间以实际出票为准，此线路进出口岸未定，以实际出票为准！）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天下名刹【嵩山少林】观武术表演，学少林武功，领略中华武术的源远流长
                <w:br/>
                ★ 中国四大石窟之一【龙门石窟】感受佛教艺术宝库，遥望白居易的烟雨居所
                <w:br/>
                ★ 世界最大的地下军事博物馆【秦始皇兵马俑】感受两千多年前的铁甲峥嵘
                <w:br/>
                ★ 登顶华夏之根，五岳之巅【西岳华山】感受金庸先生笔下的侠骨柔情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广州-运城
                <w:br/>
                广州白云机场乘机赴运城（参考航班：CZ3921/1655-1920，以实际出票为准），游览【运城盬街】（自由活动），在此自费品尝运城美食，酥沙香甜闻喜煮饼，鲜而不膻的羊杂烂，滋补养生的北相羊肉胡卜等晋南美食。
                <w:br/>
                交通：飞机/汽车
                <w:br/>
                景点：【运城盬街】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运城：蔚徕酒店、维也纳、嘉豪酒店、巴厘岛酒店或同级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运城-开封
                <w:br/>
                早餐后，车赴开封，游览【开封小宋城】（约1小时），胜似千年的东京夜市，里面亭台楼榭，雕梁画栋，小桥流水，无论外面狂风暴雨这里依然四季如春，午餐在此自费品尝鲤鱼焙面、有吵八宝饭、第一楼灌汤包、萧记烩面等等豫菜代表美食。游览【大宋武侠城】（游览约3小时），《神舟传奇》表演带您探索海上丝绸之路，领略大宋王朝的繁荣经济，《风雪山神庙》还原《水浒传》经典桥段，看各色风云人物，侠客行者纷纷汇聚江湖，感受武侠江湖的爱恨情仇。火遍全网的《王婆说媒》
                <w:br/>
                交通：汽车
                <w:br/>
                景点：【开封小宋城】【大宋武侠城】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开封：锦江都城、银祥酒店、微言酒店、宋华酒店或同级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开封-登封-洛阳
                <w:br/>
                早餐后，车赴登封，参观【嵩山少林寺】（约2.5小时）（不含景区电瓶车单程15元/人），少林寺位于嵩山少室山下，是中国功夫的发源地和佛教禅宗祖庭，有天下第一名刹之誉。欣赏名扬中外的【少林武术表演】（因少林寺景区实行套票制，该表演如遇不可抗力因素或景区临时通知取消，无费用退还）。参观世界文化遗产【龙门石窟】（约2小时）（不含景区电瓶车往返20元/人），龙门石窟是中国最大的皇家雕刻艺术宝库，数量之多位于全国各大石窟之首。东山石窟多是唐代作品，西山石窟开凿于北朝和隋唐时期，是龙门精华的部分。
                <w:br/>
                交通：汽车
                <w:br/>
                景点：【嵩山少林寺】【龙门石窟】
                <w:br/>
                自费项：少林寺电车电瓶车15元，龙门石窟往返电瓶车20元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洛阳：润华酒店、邻里故事、颐和酒店、中州国际或同级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洛阳-华山
                <w:br/>
                早餐后，车赴华山，游览【西岳华山】（不含景区索道及进山车）（参观约5小时），华山是著名的武侠小说作家金庸作品中虚拟的江湖故事，描绘了江湖英雄置身于奇险峻峭的华山，比试武功高下，谈论武学之道，排列武术伯仲，创造了一个神秘、诡奇、险绝的剑侠世界。
                <w:br/>
                温馨提示：
                <w:br/>
                1、进山车和索道需客人自理，因游客体力不同，大家可以根据自己的情况，合理选择登山方式：
                <w:br/>
                （1）北峰往返索道及进山车（可欣赏智取华山路及金庸先生笔下华山论剑）【旺季】190 元/成人；
                <w:br/>
                （2）西峰索道上北峰索道下及进山车（全程不走回头路，自由环线游华山）【旺季】280 元/成人；
                <w:br/>
                （3）西峰往返索道及进山车（轻松饱览“太华极顶”，华山美景尽在眼前）【旺季】360 元/成人；
                <w:br/>
                2、因职业自身的身体承受能力，导游只带客人乘索道登上华山，简单讲解并交代注意事项后，游客在山上自由活动，导游在山下约定的时间、地点等候集合，不陪爬山
                <w:br/>
                交通：汽车
                <w:br/>
                景点：【华山】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华山：爱尚居、白玉兰、麗致酒店、华悦里、花筑迹忆或同级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华山-临潼-西安
                <w:br/>
                早餐后，车赴临潼，参观位于骊山北麓的“世界第八大奇迹” 【兵马俑1、2、3号坑】（不含景区电瓶车5元/人）（参观约2.5小时）。三个坑共约有2万多平方米，坑内共计有陶俑马近八千件，木制战车一百余乘和青铜兵器4万余件。根据考古判断，这几座从葬坑象征着始皇生前的宿卫军守卫着陵园。独家赠送价值298元/人《大秦帝王铁鹰锐士》（含表演+秦俑手工制作+秦弓体验+真人AI变装）带你沉浸式穿越，走进秦始皇统一六国的壮烈历程（赠送项目不去不退），车赴西安，前往【大唐不夜城】（参观约2小时），整条街古今交融，每当夜幕降临，不夜城犹如一颗璀璨明珠，灯火阑珊，重现出“不夜长安”的盛景，还有艺人演艺的唐代歌舞，诗词朗诵，让您仿佛穿越至唐代长安的街头巷尾。
                <w:br/>
                温馨提示：
                <w:br/>
                兵马俑景区内设有景区购物场所，可自由进出，属景区自身行为，非我社安排，请您谨慎消费；2、为保证讲解质量，兵马俑景区规定必须统一由景区讲解员进行讲解，讲解员为景区统一调配，如遇旺季人多讲解员不够或团队人数较少，可能会出现拼团讲解的情况，敬请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西安：升级入住希尔顿或同级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西安-运城-广州
                <w:br/>
                早餐后，参观【西安博物馆】（约1小时）（逢周二闭馆，免费不免票，需提前预约，如遇闭馆或预约不成功，则改为参观：西安事变纪念馆或临潼博物馆，以实际预约为准）西安博物馆展示的珍贵文物，唐代千年古塔、悠扬的雁塔晨钟、秀丽的园林景观而闻名，博物院收藏了西安各个历史时期
                <w:br/>
                的文物13万件，其中拥有国家三级以上珍贵文物14400多件。畅游西安最具人气的【钟鼓楼广场+北院门仿古步行街】（约2小时），在具有民族特色的回民小吃街自费品尝美食。车赴运
                <w:br/>
                城乘机返广州，结束愉快旅程！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2.住宿：入住行程所列的酒店或同级酒店标准双人间。每成人每晚一个床位，若出现单男单女， 没有三人间或者加床，客人需补单房差入住双标间，如参考酒店不能入住的情况下，调整入住不低于以上行程中参考备选酒店的质量标准；小孩不占床半价早餐，超高自理！
                <w:br/>
                3.用餐：含5早6正，正餐餐标30元/人/正！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6.交通：河南陕西当地旅游空调大巴，9-55座旅游车，根据人数安排车型。
                <w:br/>
                7.儿童：半价餐、占车位、导游服务费、 含半价早餐，半价中段高铁票，不占床，含半价门票,超高需补门票差价。
                <w:br/>
                8.其他：每天每人赠送一瓶矿泉水，华山赠送登山手套！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6.12岁以下儿童不占床、含半价门票、半价餐、半价早餐、半价中段高铁票，以上如超高产生费用由家长现付。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隋唐洛阳城遗址建筑群（夜游神都）</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盛唐文化类表演： 《西安千古情》或《驼铃传奇》</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华山索道（必须乘坐）</w:t>
            </w:r>
          </w:p>
        </w:tc>
        <w:tc>
          <w:tcPr/>
          <w:p>
            <w:pPr>
              <w:pStyle w:val="indent"/>
            </w:pPr>
            <w:r>
              <w:rPr>
                <w:rFonts w:ascii="宋体" w:hAnsi="宋体" w:eastAsia="宋体" w:cs="宋体"/>
                <w:color w:val="000000"/>
                <w:sz w:val="20"/>
                <w:szCs w:val="20"/>
              </w:rPr>
              <w:t xml:space="preserve">华山索道（三选一）必须乘坐：北峰往返190元，西上北下280元，西峰往返360元</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360.00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8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郑州/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河南、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1.陕西河南有深厚的文化底蕴，以下推荐的自费项目都是各国的精华所在。您可以在自由活动期间，根据自己的喜好，自愿选择自费项目，相信自费活动会带给您不同的体验；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河南省、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欢迎您选择到河南 陕西观光游览！河南、陕西地大物博，旅游资源丰富，各旅游城市之间距离较远，车程较长，且春秋季节昼夜温差较大，饮食起居与南方均有差异。为了您在河南、陕西有更好的旅行体验，特作出温馨提示：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2、为保障旅行顺畅，河南、陕西的美景我们建议您和家人一起分享，请70周岁以上的老年人与家属同行。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2024-05-09T21:50:38+08:00</dcterms:created>
  <dcterms:modified xsi:type="dcterms:W3CDTF">2024-05-09T21:50:38+08:00</dcterms:modified>
</cp:coreProperties>
</file>

<file path=docProps/custom.xml><?xml version="1.0" encoding="utf-8"?>
<Properties xmlns="http://schemas.openxmlformats.org/officeDocument/2006/custom-properties" xmlns:vt="http://schemas.openxmlformats.org/officeDocument/2006/docPropsVTypes"/>
</file>