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【招商维京游轮】深圳 尊享伊敦号 海上4天无目的地游|悠享3晚舒适移动酒店|免费品星级盛宴|丰富多彩娱乐节目行程单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WJYL-20220720ZYX03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广东省-中国台湾-澳门英皇娱乐酒店御厨餐厅自助餐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★海景住宿：3晚奢华五星海上移动酒店，全船独立阳台私享180度海景，悠享海上静逸时光，让你伴着星辰大海安然入睡，醒来便是新的目的地！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——报名免费赠送每人价值 ¥1050服务礼包（包含港务费、船上服务及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7、游轮多种房型，报名前请先咨询房态，赠送项目不使用不退任务费用！
                <w:br/>
                8、双人入住同一间舱房时，若其中一位出行人取消将按以上条款承担业务损失费，另一位出行人需承担相应的单房差费用。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2、报名免费赠送每人价值 ¥1050服务礼包（包含港务费、船上服务及 Wi-Fi 费）；
                <w:br/>
                3、免费升舱：DV5 升 DV2，先到先得（升舱须以预定时最终确认为准）；
                <w:br/>
                4、以上赠送的优惠政策不使用不退任何费用，请知悉！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招商维京游轮（航海游）
                <w:br/>
                睡到自然醒后享用丰富的早餐，后享受海上夹板自由时光。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4、保护文物，勿对文物拍照，勿触摸裸置文物及展厅设施。
                <w:br/>
                5、疫情期间不提供人工讲解服务，为避免交叉感染，不提供讲解器服务。建议关注景区官方公众号，使用线上讲解。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招商维京游轮（航海游）
                <w:br/>
                睡到自然醒后享用丰富的早餐，后自由安排活动。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1、交通：招商维京游轮（广州-蛇口邮轮中心码头的往返交通费用自理）；
                <w:br/>
                2、住宿：3晚招商维京游轮海景房住宿；
                <w:br/>
                3、用餐：行程内提列明餐食（指定免费餐厅）；
                <w:br/>
                4、景点：海上无目的地游、船上指定的免费项目，赠送项目不使用不退任务费用；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1)健康码绿码、通信大数据行程绿色（14天内无中高风险地区旅居史及大数据行程卡绿卡中未提示到访过风险区）
                <w:br/>
                2)持有登船前 48小时内有效核酸阴性证明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2025-05-08T02:43:19+08:00</dcterms:created>
  <dcterms:modified xsi:type="dcterms:W3CDTF">2025-05-08T02:43:19+08:00</dcterms:modified>
</cp:coreProperties>
</file>

<file path=docProps/custom.xml><?xml version="1.0" encoding="utf-8"?>
<Properties xmlns="http://schemas.openxmlformats.org/officeDocument/2006/custom-properties" xmlns:vt="http://schemas.openxmlformats.org/officeDocument/2006/docPropsVTypes"/>
</file>